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7C" w:rsidRDefault="00B65572">
      <w:pPr>
        <w:spacing w:before="180" w:line="420" w:lineRule="exact"/>
        <w:jc w:val="center"/>
      </w:pPr>
      <w:r>
        <w:rPr>
          <w:rFonts w:ascii="標楷體" w:eastAsia="標楷體" w:hAnsi="標楷體"/>
          <w:noProof/>
          <w:color w:val="000000"/>
          <w:sz w:val="18"/>
        </w:rPr>
        <mc:AlternateContent>
          <mc:Choice Requires="wps">
            <w:drawing>
              <wp:anchor distT="0" distB="0" distL="114300" distR="114300" simplePos="0" relativeHeight="251660288" behindDoc="0" locked="0" layoutInCell="1" allowOverlap="1">
                <wp:simplePos x="0" y="0"/>
                <wp:positionH relativeFrom="margin">
                  <wp:posOffset>3832222</wp:posOffset>
                </wp:positionH>
                <wp:positionV relativeFrom="paragraph">
                  <wp:posOffset>-700402</wp:posOffset>
                </wp:positionV>
                <wp:extent cx="2714625" cy="702314"/>
                <wp:effectExtent l="0" t="0" r="0" b="2536"/>
                <wp:wrapNone/>
                <wp:docPr id="1" name="文字方塊 2"/>
                <wp:cNvGraphicFramePr/>
                <a:graphic xmlns:a="http://schemas.openxmlformats.org/drawingml/2006/main">
                  <a:graphicData uri="http://schemas.microsoft.com/office/word/2010/wordprocessingShape">
                    <wps:wsp>
                      <wps:cNvSpPr txBox="1"/>
                      <wps:spPr>
                        <a:xfrm>
                          <a:off x="0" y="0"/>
                          <a:ext cx="2714625" cy="702314"/>
                        </a:xfrm>
                        <a:prstGeom prst="rect">
                          <a:avLst/>
                        </a:prstGeom>
                        <a:noFill/>
                        <a:ln>
                          <a:noFill/>
                          <a:prstDash/>
                        </a:ln>
                      </wps:spPr>
                      <wps:txbx>
                        <w:txbxContent>
                          <w:p w:rsidR="001E2E7C" w:rsidRDefault="00B65572">
                            <w:pPr>
                              <w:tabs>
                                <w:tab w:val="left" w:pos="3514"/>
                              </w:tabs>
                              <w:snapToGrid w:val="0"/>
                              <w:spacing w:line="240" w:lineRule="exact"/>
                              <w:ind w:right="826"/>
                            </w:pPr>
                            <w:r>
                              <w:rPr>
                                <w:rFonts w:ascii="標楷體" w:eastAsia="標楷體" w:hAnsi="標楷體"/>
                                <w:b/>
                              </w:rPr>
                              <w:t>單位：</w:t>
                            </w:r>
                            <w:r>
                              <w:rPr>
                                <w:rFonts w:ascii="標楷體" w:eastAsia="標楷體" w:hAnsi="標楷體"/>
                                <w:b/>
                                <w:u w:val="single"/>
                              </w:rPr>
                              <w:t>衛生局-疾病管制科</w:t>
                            </w:r>
                          </w:p>
                          <w:p w:rsidR="001E2E7C" w:rsidRDefault="00B65572">
                            <w:pPr>
                              <w:snapToGrid w:val="0"/>
                              <w:spacing w:line="240" w:lineRule="exact"/>
                              <w:ind w:right="482"/>
                              <w:rPr>
                                <w:rFonts w:ascii="標楷體" w:eastAsia="標楷體" w:hAnsi="標楷體"/>
                                <w:b/>
                                <w:w w:val="105"/>
                              </w:rPr>
                            </w:pPr>
                            <w:r>
                              <w:rPr>
                                <w:rFonts w:ascii="標楷體" w:eastAsia="標楷體" w:hAnsi="標楷體"/>
                                <w:b/>
                                <w:w w:val="105"/>
                              </w:rPr>
                              <w:t>聯絡人：洪美吟 科長</w:t>
                            </w:r>
                          </w:p>
                          <w:p w:rsidR="001E2E7C" w:rsidRDefault="00B65572">
                            <w:pPr>
                              <w:snapToGrid w:val="0"/>
                              <w:spacing w:line="240" w:lineRule="exact"/>
                              <w:ind w:right="482"/>
                              <w:rPr>
                                <w:rFonts w:ascii="標楷體" w:eastAsia="標楷體" w:hAnsi="標楷體"/>
                                <w:b/>
                                <w:w w:val="105"/>
                              </w:rPr>
                            </w:pPr>
                            <w:r>
                              <w:rPr>
                                <w:rFonts w:ascii="標楷體" w:eastAsia="標楷體" w:hAnsi="標楷體"/>
                                <w:b/>
                                <w:w w:val="105"/>
                              </w:rPr>
                              <w:t>電話：049-2220904</w:t>
                            </w:r>
                          </w:p>
                          <w:p w:rsidR="001E2E7C" w:rsidRDefault="00B65572">
                            <w:pPr>
                              <w:snapToGrid w:val="0"/>
                              <w:spacing w:line="240" w:lineRule="exact"/>
                              <w:ind w:right="482"/>
                            </w:pPr>
                            <w:r>
                              <w:rPr>
                                <w:rFonts w:ascii="標楷體" w:eastAsia="標楷體" w:hAnsi="標楷體"/>
                                <w:b/>
                                <w:spacing w:val="-1"/>
                              </w:rPr>
                              <w:t xml:space="preserve">地址：南投縣南投市復興路 </w:t>
                            </w:r>
                            <w:r>
                              <w:rPr>
                                <w:rFonts w:ascii="標楷體" w:eastAsia="標楷體" w:hAnsi="標楷體"/>
                                <w:b/>
                              </w:rPr>
                              <w:t>6</w:t>
                            </w:r>
                            <w:r>
                              <w:rPr>
                                <w:rFonts w:ascii="標楷體" w:eastAsia="標楷體" w:hAnsi="標楷體"/>
                                <w:b/>
                                <w:spacing w:val="-4"/>
                              </w:rPr>
                              <w:t xml:space="preserve"> 號</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1.75pt;margin-top:-55.15pt;width:213.75pt;height:55.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" filled="f" stroked="f">
                <v:textbox>
                  <w:txbxContent>
                    <w:p w:rsidR="001E2E7C" w:rsidRDefault="00B65572">
                      <w:pPr>
                        <w:tabs>
                          <w:tab w:val="left" w:pos="3514"/>
                        </w:tabs>
                        <w:snapToGrid w:val="0"/>
                        <w:spacing w:line="240" w:lineRule="exact"/>
                        <w:ind w:right="826"/>
                      </w:pPr>
                      <w:r>
                        <w:rPr>
                          <w:rFonts w:ascii="標楷體" w:eastAsia="標楷體" w:hAnsi="標楷體"/>
                          <w:b/>
                        </w:rPr>
                        <w:t>單位：</w:t>
                      </w:r>
                      <w:r>
                        <w:rPr>
                          <w:rFonts w:ascii="標楷體" w:eastAsia="標楷體" w:hAnsi="標楷體"/>
                          <w:b/>
                          <w:u w:val="single"/>
                        </w:rPr>
                        <w:t>衛生局</w:t>
                      </w:r>
                      <w:r>
                        <w:rPr>
                          <w:rFonts w:ascii="標楷體" w:eastAsia="標楷體" w:hAnsi="標楷體"/>
                          <w:b/>
                          <w:u w:val="single"/>
                        </w:rPr>
                        <w:t>-</w:t>
                      </w:r>
                      <w:r>
                        <w:rPr>
                          <w:rFonts w:ascii="標楷體" w:eastAsia="標楷體" w:hAnsi="標楷體"/>
                          <w:b/>
                          <w:u w:val="single"/>
                        </w:rPr>
                        <w:t>疾病管制科</w:t>
                      </w:r>
                    </w:p>
                    <w:p w:rsidR="001E2E7C" w:rsidRDefault="00B65572">
                      <w:pPr>
                        <w:snapToGrid w:val="0"/>
                        <w:spacing w:line="240" w:lineRule="exact"/>
                        <w:ind w:right="482"/>
                        <w:rPr>
                          <w:rFonts w:ascii="標楷體" w:eastAsia="標楷體" w:hAnsi="標楷體"/>
                          <w:b/>
                          <w:w w:val="105"/>
                        </w:rPr>
                      </w:pPr>
                      <w:r>
                        <w:rPr>
                          <w:rFonts w:ascii="標楷體" w:eastAsia="標楷體" w:hAnsi="標楷體"/>
                          <w:b/>
                          <w:w w:val="105"/>
                        </w:rPr>
                        <w:t>聯絡人：洪美吟</w:t>
                      </w:r>
                      <w:r>
                        <w:rPr>
                          <w:rFonts w:ascii="標楷體" w:eastAsia="標楷體" w:hAnsi="標楷體"/>
                          <w:b/>
                          <w:w w:val="105"/>
                        </w:rPr>
                        <w:t xml:space="preserve"> </w:t>
                      </w:r>
                      <w:r>
                        <w:rPr>
                          <w:rFonts w:ascii="標楷體" w:eastAsia="標楷體" w:hAnsi="標楷體"/>
                          <w:b/>
                          <w:w w:val="105"/>
                        </w:rPr>
                        <w:t>科長</w:t>
                      </w:r>
                    </w:p>
                    <w:p w:rsidR="001E2E7C" w:rsidRDefault="00B65572">
                      <w:pPr>
                        <w:snapToGrid w:val="0"/>
                        <w:spacing w:line="240" w:lineRule="exact"/>
                        <w:ind w:right="482"/>
                        <w:rPr>
                          <w:rFonts w:ascii="標楷體" w:eastAsia="標楷體" w:hAnsi="標楷體"/>
                          <w:b/>
                          <w:w w:val="105"/>
                        </w:rPr>
                      </w:pPr>
                      <w:r>
                        <w:rPr>
                          <w:rFonts w:ascii="標楷體" w:eastAsia="標楷體" w:hAnsi="標楷體"/>
                          <w:b/>
                          <w:w w:val="105"/>
                        </w:rPr>
                        <w:t>電話：</w:t>
                      </w:r>
                      <w:r>
                        <w:rPr>
                          <w:rFonts w:ascii="標楷體" w:eastAsia="標楷體" w:hAnsi="標楷體"/>
                          <w:b/>
                          <w:w w:val="105"/>
                        </w:rPr>
                        <w:t>049-2220904</w:t>
                      </w:r>
                    </w:p>
                    <w:p w:rsidR="001E2E7C" w:rsidRDefault="00B65572">
                      <w:pPr>
                        <w:snapToGrid w:val="0"/>
                        <w:spacing w:line="240" w:lineRule="exact"/>
                        <w:ind w:right="482"/>
                      </w:pPr>
                      <w:r>
                        <w:rPr>
                          <w:rFonts w:ascii="標楷體" w:eastAsia="標楷體" w:hAnsi="標楷體"/>
                          <w:b/>
                          <w:spacing w:val="-1"/>
                        </w:rPr>
                        <w:t>地址：南投縣南投市復興路</w:t>
                      </w:r>
                      <w:r>
                        <w:rPr>
                          <w:rFonts w:ascii="標楷體" w:eastAsia="標楷體" w:hAnsi="標楷體"/>
                          <w:b/>
                          <w:spacing w:val="-1"/>
                        </w:rPr>
                        <w:t xml:space="preserve"> </w:t>
                      </w:r>
                      <w:r>
                        <w:rPr>
                          <w:rFonts w:ascii="標楷體" w:eastAsia="標楷體" w:hAnsi="標楷體"/>
                          <w:b/>
                        </w:rPr>
                        <w:t>6</w:t>
                      </w:r>
                      <w:r>
                        <w:rPr>
                          <w:rFonts w:ascii="標楷體" w:eastAsia="標楷體" w:hAnsi="標楷體"/>
                          <w:b/>
                          <w:spacing w:val="-4"/>
                        </w:rPr>
                        <w:t xml:space="preserve"> </w:t>
                      </w:r>
                      <w:r>
                        <w:rPr>
                          <w:rFonts w:ascii="標楷體" w:eastAsia="標楷體" w:hAnsi="標楷體"/>
                          <w:b/>
                          <w:spacing w:val="-4"/>
                        </w:rPr>
                        <w:t>號</w:t>
                      </w:r>
                    </w:p>
                  </w:txbxContent>
                </v:textbox>
                <w10:wrap anchorx="margin"/>
              </v:shape>
            </w:pict>
          </mc:Fallback>
        </mc:AlternateContent>
      </w:r>
      <w:r>
        <w:rPr>
          <w:rFonts w:ascii="標楷體" w:eastAsia="標楷體" w:hAnsi="標楷體"/>
          <w:noProof/>
        </w:rPr>
        <w:drawing>
          <wp:anchor distT="0" distB="0" distL="114300" distR="114300" simplePos="0" relativeHeight="251662336" behindDoc="0" locked="0" layoutInCell="1" allowOverlap="1">
            <wp:simplePos x="0" y="0"/>
            <wp:positionH relativeFrom="margin">
              <wp:posOffset>630</wp:posOffset>
            </wp:positionH>
            <wp:positionV relativeFrom="paragraph">
              <wp:posOffset>-629921</wp:posOffset>
            </wp:positionV>
            <wp:extent cx="1431292" cy="57531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31292" cy="575313"/>
                    </a:xfrm>
                    <a:prstGeom prst="rect">
                      <a:avLst/>
                    </a:prstGeom>
                    <a:noFill/>
                    <a:ln>
                      <a:noFill/>
                      <a:prstDash/>
                    </a:ln>
                  </pic:spPr>
                </pic:pic>
              </a:graphicData>
            </a:graphic>
          </wp:anchor>
        </w:drawing>
      </w:r>
      <w:r>
        <w:rPr>
          <w:rFonts w:ascii="標楷體" w:eastAsia="標楷體" w:hAnsi="標楷體" w:cs="新細明體"/>
          <w:b/>
          <w:kern w:val="0"/>
          <w:sz w:val="36"/>
          <w:szCs w:val="36"/>
        </w:rPr>
        <w:t>自4月8日起，提供65歲以上長者(含55至64歲原住民)及免疫不全民眾接種新冠JN.1疫苗第2劑</w:t>
      </w:r>
    </w:p>
    <w:p w:rsidR="001E2E7C" w:rsidRDefault="00B65572">
      <w:pPr>
        <w:snapToGrid w:val="0"/>
        <w:spacing w:before="360" w:line="380" w:lineRule="exact"/>
        <w:ind w:firstLine="560"/>
        <w:rPr>
          <w:rFonts w:ascii="標楷體" w:eastAsia="標楷體" w:hAnsi="標楷體"/>
          <w:color w:val="000000"/>
          <w:sz w:val="28"/>
          <w:szCs w:val="28"/>
        </w:rPr>
      </w:pPr>
      <w:r>
        <w:rPr>
          <w:rFonts w:ascii="標楷體" w:eastAsia="標楷體" w:hAnsi="標楷體"/>
          <w:color w:val="000000"/>
          <w:sz w:val="28"/>
          <w:szCs w:val="28"/>
        </w:rPr>
        <w:t>依據衛生福利部疾病管制署資料統計，自113年9月1日起截至114年</w:t>
      </w:r>
      <w:r w:rsidR="00F945DB">
        <w:rPr>
          <w:rFonts w:ascii="標楷體" w:eastAsia="標楷體" w:hAnsi="標楷體" w:hint="eastAsia"/>
          <w:color w:val="000000"/>
          <w:sz w:val="28"/>
          <w:szCs w:val="28"/>
        </w:rPr>
        <w:t>4</w:t>
      </w:r>
      <w:r>
        <w:rPr>
          <w:rFonts w:ascii="標楷體" w:eastAsia="標楷體" w:hAnsi="標楷體"/>
          <w:color w:val="000000"/>
          <w:sz w:val="28"/>
          <w:szCs w:val="28"/>
        </w:rPr>
        <w:t>月</w:t>
      </w:r>
      <w:r w:rsidR="00F945DB">
        <w:rPr>
          <w:rFonts w:ascii="標楷體" w:eastAsia="標楷體" w:hAnsi="標楷體" w:hint="eastAsia"/>
          <w:color w:val="000000"/>
          <w:sz w:val="28"/>
          <w:szCs w:val="28"/>
        </w:rPr>
        <w:t>7</w:t>
      </w:r>
      <w:r>
        <w:rPr>
          <w:rFonts w:ascii="標楷體" w:eastAsia="標楷體" w:hAnsi="標楷體"/>
          <w:color w:val="000000"/>
          <w:sz w:val="28"/>
          <w:szCs w:val="28"/>
        </w:rPr>
        <w:t>日，新冠併發重症本土病例累計</w:t>
      </w:r>
      <w:r w:rsidR="00D33137">
        <w:rPr>
          <w:rFonts w:ascii="標楷體" w:eastAsia="標楷體" w:hAnsi="標楷體" w:hint="eastAsia"/>
          <w:color w:val="000000"/>
          <w:sz w:val="28"/>
          <w:szCs w:val="28"/>
        </w:rPr>
        <w:t>652</w:t>
      </w:r>
      <w:r>
        <w:rPr>
          <w:rFonts w:ascii="標楷體" w:eastAsia="標楷體" w:hAnsi="標楷體"/>
          <w:color w:val="000000"/>
          <w:sz w:val="28"/>
          <w:szCs w:val="28"/>
        </w:rPr>
        <w:t>例，其中</w:t>
      </w:r>
      <w:r w:rsidR="00F945DB">
        <w:rPr>
          <w:rFonts w:ascii="標楷體" w:eastAsia="標楷體" w:hAnsi="標楷體" w:hint="eastAsia"/>
          <w:color w:val="000000"/>
          <w:sz w:val="28"/>
          <w:szCs w:val="28"/>
        </w:rPr>
        <w:t>116</w:t>
      </w:r>
      <w:r w:rsidR="00D33137">
        <w:rPr>
          <w:rFonts w:ascii="標楷體" w:eastAsia="標楷體" w:hAnsi="標楷體"/>
          <w:color w:val="000000"/>
          <w:sz w:val="28"/>
          <w:szCs w:val="28"/>
        </w:rPr>
        <w:t>例死亡</w:t>
      </w:r>
      <w:r w:rsidR="00D33137">
        <w:rPr>
          <w:rFonts w:ascii="標楷體" w:eastAsia="標楷體" w:hAnsi="標楷體" w:hint="eastAsia"/>
          <w:color w:val="000000"/>
          <w:sz w:val="28"/>
          <w:szCs w:val="28"/>
        </w:rPr>
        <w:t>；本縣</w:t>
      </w:r>
      <w:r w:rsidR="00D33137">
        <w:rPr>
          <w:rFonts w:ascii="標楷體" w:eastAsia="標楷體" w:hAnsi="標楷體"/>
          <w:color w:val="000000"/>
          <w:sz w:val="28"/>
          <w:szCs w:val="28"/>
        </w:rPr>
        <w:t>新冠併發重症本土病例累計</w:t>
      </w:r>
      <w:r w:rsidR="00D33137">
        <w:rPr>
          <w:rFonts w:ascii="標楷體" w:eastAsia="標楷體" w:hAnsi="標楷體" w:hint="eastAsia"/>
          <w:color w:val="000000"/>
          <w:sz w:val="28"/>
          <w:szCs w:val="28"/>
        </w:rPr>
        <w:t>22</w:t>
      </w:r>
      <w:r w:rsidR="00D33137">
        <w:rPr>
          <w:rFonts w:ascii="標楷體" w:eastAsia="標楷體" w:hAnsi="標楷體"/>
          <w:color w:val="000000"/>
          <w:sz w:val="28"/>
          <w:szCs w:val="28"/>
        </w:rPr>
        <w:t>例，其中</w:t>
      </w:r>
      <w:r w:rsidR="00D33137">
        <w:rPr>
          <w:rFonts w:ascii="標楷體" w:eastAsia="標楷體" w:hAnsi="標楷體" w:hint="eastAsia"/>
          <w:color w:val="000000"/>
          <w:sz w:val="28"/>
          <w:szCs w:val="28"/>
        </w:rPr>
        <w:t>6</w:t>
      </w:r>
      <w:r w:rsidR="00D33137">
        <w:rPr>
          <w:rFonts w:ascii="標楷體" w:eastAsia="標楷體" w:hAnsi="標楷體"/>
          <w:color w:val="000000"/>
          <w:sz w:val="28"/>
          <w:szCs w:val="28"/>
        </w:rPr>
        <w:t>例死亡</w:t>
      </w:r>
      <w:r w:rsidR="00D33137">
        <w:rPr>
          <w:rFonts w:ascii="標楷體" w:eastAsia="標楷體" w:hAnsi="標楷體" w:hint="eastAsia"/>
          <w:color w:val="000000"/>
          <w:sz w:val="28"/>
          <w:szCs w:val="28"/>
        </w:rPr>
        <w:t>。</w:t>
      </w:r>
      <w:r>
        <w:rPr>
          <w:rFonts w:ascii="標楷體" w:eastAsia="標楷體" w:hAnsi="標楷體"/>
          <w:color w:val="000000"/>
          <w:sz w:val="28"/>
          <w:szCs w:val="28"/>
        </w:rPr>
        <w:t>均以65歲以上長者及具慢性病史者為多，其中自113年10月1日起通報之確定及死亡病例未接種JN.1疫苗者均達96%以上。</w:t>
      </w:r>
    </w:p>
    <w:p w:rsidR="001E2E7C" w:rsidRDefault="00D33137">
      <w:pPr>
        <w:snapToGrid w:val="0"/>
        <w:spacing w:before="360" w:line="380" w:lineRule="exact"/>
        <w:ind w:firstLine="560"/>
        <w:rPr>
          <w:rFonts w:ascii="標楷體" w:eastAsia="標楷體" w:hAnsi="標楷體"/>
          <w:color w:val="000000"/>
          <w:sz w:val="28"/>
          <w:szCs w:val="28"/>
        </w:rPr>
      </w:pPr>
      <w:r>
        <w:rPr>
          <w:rFonts w:ascii="標楷體" w:eastAsia="標楷體" w:hAnsi="標楷體" w:hint="eastAsia"/>
          <w:color w:val="000000"/>
          <w:sz w:val="28"/>
          <w:szCs w:val="28"/>
        </w:rPr>
        <w:t>衛生局局長陳南松</w:t>
      </w:r>
      <w:r w:rsidR="00B65572">
        <w:rPr>
          <w:rFonts w:ascii="標楷體" w:eastAsia="標楷體" w:hAnsi="標楷體"/>
          <w:color w:val="000000"/>
          <w:sz w:val="28"/>
          <w:szCs w:val="28"/>
        </w:rPr>
        <w:t>表示，</w:t>
      </w:r>
      <w:r>
        <w:rPr>
          <w:rFonts w:ascii="標楷體" w:eastAsia="標楷體" w:hAnsi="標楷體" w:hint="eastAsia"/>
          <w:color w:val="000000"/>
          <w:sz w:val="28"/>
          <w:szCs w:val="28"/>
        </w:rPr>
        <w:t>疾病管制署</w:t>
      </w:r>
      <w:r w:rsidR="00B65572">
        <w:rPr>
          <w:rFonts w:ascii="標楷體" w:eastAsia="標楷體" w:hAnsi="標楷體"/>
          <w:color w:val="000000"/>
          <w:sz w:val="28"/>
          <w:szCs w:val="28"/>
        </w:rPr>
        <w:t>考量65歲以上長者(原住民為55歲以上)、免疫不全以及免疫力低下患者為感染後易發生重症或死亡之高風險族群，為提升對高風險族群的健康保護，參考美國CDC接種建議，並經衛生福利部傳染病防治諮詢會預防接種組(ACIP)會議討論，自今(114)年4月8日起再增加接種1劑JN.1 COVID-19疫苗，與前1劑間隔至少6個月(180天)</w:t>
      </w:r>
      <w:r w:rsidR="00CF6F15">
        <w:rPr>
          <w:rFonts w:ascii="標楷體" w:eastAsia="標楷體" w:hAnsi="標楷體"/>
          <w:color w:val="000000"/>
          <w:sz w:val="28"/>
          <w:szCs w:val="28"/>
        </w:rPr>
        <w:t>；</w:t>
      </w:r>
      <w:r w:rsidR="00CF6F15" w:rsidRPr="00CF6F15">
        <w:rPr>
          <w:rFonts w:ascii="標楷體" w:eastAsia="標楷體" w:hAnsi="標楷體" w:hint="eastAsia"/>
          <w:color w:val="000000"/>
          <w:sz w:val="28"/>
          <w:szCs w:val="28"/>
        </w:rPr>
        <w:t>另考量疫情個案風險情形(如出國及需緊急治療之健康因素)可以最短間隔(2個月)進行接種</w:t>
      </w:r>
      <w:r w:rsidR="00CF6F15">
        <w:rPr>
          <w:rFonts w:ascii="標楷體" w:eastAsia="標楷體" w:hAnsi="標楷體" w:hint="eastAsia"/>
          <w:color w:val="000000"/>
          <w:sz w:val="28"/>
          <w:szCs w:val="28"/>
        </w:rPr>
        <w:t>，</w:t>
      </w:r>
      <w:r w:rsidR="00B65572">
        <w:rPr>
          <w:rFonts w:ascii="標楷體" w:eastAsia="標楷體" w:hAnsi="標楷體"/>
          <w:color w:val="000000"/>
          <w:sz w:val="28"/>
          <w:szCs w:val="28"/>
        </w:rPr>
        <w:t>呼籲符合接種資格民眾踴躍接種，符合接種資格對象如下：</w:t>
      </w:r>
    </w:p>
    <w:p w:rsidR="001E2E7C" w:rsidRDefault="00B65572" w:rsidP="004B635B">
      <w:pPr>
        <w:pStyle w:val="ab"/>
        <w:numPr>
          <w:ilvl w:val="0"/>
          <w:numId w:val="1"/>
        </w:numPr>
        <w:snapToGrid w:val="0"/>
        <w:spacing w:before="180" w:line="240" w:lineRule="exact"/>
        <w:rPr>
          <w:rFonts w:ascii="標楷體" w:eastAsia="標楷體" w:hAnsi="標楷體"/>
          <w:color w:val="000000"/>
          <w:sz w:val="28"/>
          <w:szCs w:val="28"/>
        </w:rPr>
      </w:pPr>
      <w:r>
        <w:rPr>
          <w:rFonts w:ascii="標楷體" w:eastAsia="標楷體" w:hAnsi="標楷體"/>
          <w:color w:val="000000"/>
          <w:sz w:val="28"/>
          <w:szCs w:val="28"/>
        </w:rPr>
        <w:t>65歲以上長者(含55-64歲原住民)。</w:t>
      </w:r>
    </w:p>
    <w:p w:rsidR="001E2E7C" w:rsidRDefault="00B65572" w:rsidP="004B635B">
      <w:pPr>
        <w:pStyle w:val="ab"/>
        <w:numPr>
          <w:ilvl w:val="0"/>
          <w:numId w:val="1"/>
        </w:numPr>
        <w:snapToGrid w:val="0"/>
        <w:spacing w:before="180" w:line="240" w:lineRule="exact"/>
        <w:rPr>
          <w:rFonts w:ascii="標楷體" w:eastAsia="標楷體" w:hAnsi="標楷體"/>
          <w:color w:val="000000"/>
          <w:sz w:val="28"/>
          <w:szCs w:val="28"/>
        </w:rPr>
      </w:pPr>
      <w:r>
        <w:rPr>
          <w:rFonts w:ascii="標楷體" w:eastAsia="標楷體" w:hAnsi="標楷體"/>
          <w:color w:val="000000"/>
          <w:sz w:val="28"/>
          <w:szCs w:val="28"/>
        </w:rPr>
        <w:t>出生滿6個月以上且有免疫不全以及免疫力低下患者。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目前正進行或1年內曾接受免疫抑制治療之癌症患者。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器官移植患者/幹細胞移植患者。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中度/嚴重先天性免疫不全患者。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洗腎患者。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人類免疫缺乏病毒感染患者。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過去6個月內接受化療或放療者。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其他經醫師評估免疫不全或免疫力低下者。</w:t>
      </w:r>
    </w:p>
    <w:p w:rsidR="001E2E7C" w:rsidRDefault="00B65572" w:rsidP="004B635B">
      <w:pPr>
        <w:pStyle w:val="ab"/>
        <w:numPr>
          <w:ilvl w:val="0"/>
          <w:numId w:val="1"/>
        </w:numPr>
        <w:snapToGrid w:val="0"/>
        <w:spacing w:before="180" w:line="240" w:lineRule="exact"/>
      </w:pPr>
      <w:r>
        <w:rPr>
          <w:rFonts w:ascii="標楷體" w:eastAsia="標楷體" w:hAnsi="標楷體"/>
          <w:sz w:val="28"/>
          <w:szCs w:val="28"/>
        </w:rPr>
        <w:t>目前正使用高度免疫抑制藥物者。</w:t>
      </w:r>
    </w:p>
    <w:p w:rsidR="001E2E7C" w:rsidRDefault="00B65572">
      <w:pPr>
        <w:snapToGrid w:val="0"/>
        <w:spacing w:before="360" w:line="380" w:lineRule="exact"/>
        <w:ind w:firstLine="560"/>
      </w:pPr>
      <w:r>
        <w:rPr>
          <w:rFonts w:ascii="標楷體" w:eastAsia="標楷體" w:hAnsi="標楷體"/>
          <w:color w:val="000000"/>
          <w:sz w:val="28"/>
          <w:szCs w:val="28"/>
        </w:rPr>
        <w:t>衛生局局長陳南松再次呼籲，國內新冠併發重症本土及死亡病例多數皆未接種JN.1 COVID-19疫苗，提醒民眾不要因曾感染過新冠、曾接種先前新冠疫苗而輕忽新冠疾病侵襲威脅，請符合資格民</w:t>
      </w:r>
      <w:r w:rsidR="00A45B7E">
        <w:rPr>
          <w:rFonts w:ascii="標楷體" w:eastAsia="標楷體" w:hAnsi="標楷體"/>
          <w:color w:val="000000"/>
          <w:sz w:val="28"/>
          <w:szCs w:val="28"/>
        </w:rPr>
        <w:t>眾儘速前往接種，保護自己也保護家人之健康，共同降低重症和死亡風險。</w:t>
      </w:r>
      <w:r>
        <w:rPr>
          <w:rFonts w:ascii="標楷體" w:eastAsia="標楷體" w:hAnsi="標楷體"/>
          <w:color w:val="000000"/>
          <w:sz w:val="28"/>
          <w:szCs w:val="28"/>
        </w:rPr>
        <w:tab/>
      </w:r>
      <w:r w:rsidR="00A45B7E" w:rsidRPr="00A45B7E">
        <w:rPr>
          <w:rFonts w:ascii="標楷體" w:eastAsia="標楷體" w:hAnsi="標楷體" w:hint="eastAsia"/>
          <w:color w:val="000000"/>
          <w:sz w:val="28"/>
          <w:szCs w:val="28"/>
        </w:rPr>
        <w:t>若有相關疑問，請民眾逕洽本縣疫苗合約院所預約，或至衛生局網站查詢(南投縣COVID-19疫苗接種合約院所：</w:t>
      </w:r>
      <w:hyperlink r:id="rId8" w:history="1">
        <w:r w:rsidR="00A45B7E">
          <w:rPr>
            <w:rStyle w:val="a6"/>
            <w:rFonts w:ascii="標楷體" w:eastAsia="標楷體" w:hAnsi="標楷體"/>
            <w:sz w:val="28"/>
            <w:szCs w:val="28"/>
          </w:rPr>
          <w:t>https://ntshb.tw/hc03deafB</w:t>
        </w:r>
      </w:hyperlink>
      <w:r w:rsidR="00A45B7E">
        <w:rPr>
          <w:rFonts w:ascii="標楷體" w:eastAsia="標楷體" w:hAnsi="標楷體"/>
          <w:color w:val="000000"/>
          <w:sz w:val="28"/>
          <w:szCs w:val="28"/>
        </w:rPr>
        <w:t>)</w:t>
      </w:r>
      <w:bookmarkStart w:id="0" w:name="_GoBack"/>
      <w:bookmarkEnd w:id="0"/>
      <w:r w:rsidR="00A45B7E" w:rsidRPr="00A45B7E">
        <w:rPr>
          <w:rFonts w:ascii="標楷體" w:eastAsia="標楷體" w:hAnsi="標楷體" w:hint="eastAsia"/>
          <w:color w:val="000000"/>
          <w:sz w:val="28"/>
          <w:szCs w:val="28"/>
        </w:rPr>
        <w:t>或撥打防疫專線：049-2220904。</w:t>
      </w:r>
    </w:p>
    <w:sectPr w:rsidR="001E2E7C">
      <w:pgSz w:w="11906" w:h="16838"/>
      <w:pgMar w:top="1276" w:right="1080" w:bottom="1440" w:left="1080"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C1" w:rsidRDefault="00B65572">
      <w:r>
        <w:separator/>
      </w:r>
    </w:p>
  </w:endnote>
  <w:endnote w:type="continuationSeparator" w:id="0">
    <w:p w:rsidR="00A243C1" w:rsidRDefault="00B6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C1" w:rsidRDefault="00B65572">
      <w:r>
        <w:rPr>
          <w:color w:val="000000"/>
        </w:rPr>
        <w:separator/>
      </w:r>
    </w:p>
  </w:footnote>
  <w:footnote w:type="continuationSeparator" w:id="0">
    <w:p w:rsidR="00A243C1" w:rsidRDefault="00B6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3607"/>
    <w:multiLevelType w:val="multilevel"/>
    <w:tmpl w:val="F6222CD8"/>
    <w:lvl w:ilvl="0">
      <w:start w:val="1"/>
      <w:numFmt w:val="taiwaneseCountingThousand"/>
      <w:lvlText w:val="%1、"/>
      <w:lvlJc w:val="left"/>
      <w:pPr>
        <w:ind w:left="720"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7C"/>
    <w:rsid w:val="001E2E7C"/>
    <w:rsid w:val="004B635B"/>
    <w:rsid w:val="00654530"/>
    <w:rsid w:val="00716229"/>
    <w:rsid w:val="00A243C1"/>
    <w:rsid w:val="00A45B7E"/>
    <w:rsid w:val="00B65572"/>
    <w:rsid w:val="00CF6F15"/>
    <w:rsid w:val="00D33137"/>
    <w:rsid w:val="00D34BEC"/>
    <w:rsid w:val="00DD15A3"/>
    <w:rsid w:val="00F9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615C21"/>
  <w15:docId w15:val="{65773BEC-9056-41CB-9A5E-6EA4B1D1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Calibri" w:eastAsia="新細明體" w:hAnsi="Calibri"/>
      <w:kern w:val="3"/>
      <w:sz w:val="24"/>
      <w:szCs w:val="22"/>
    </w:r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widowControl/>
      <w:spacing w:before="100" w:after="100"/>
      <w:outlineLvl w:val="1"/>
    </w:pPr>
    <w:rPr>
      <w:rFonts w:ascii="新細明體" w:hAnsi="新細明體" w:cs="新細明體"/>
      <w:b/>
      <w:bCs/>
      <w:kern w:val="0"/>
      <w:sz w:val="36"/>
      <w:szCs w:val="36"/>
    </w:rPr>
  </w:style>
  <w:style w:type="paragraph" w:styleId="3">
    <w:name w:val="heading 3"/>
    <w:basedOn w:val="a"/>
    <w:next w:val="a"/>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paragraph" w:styleId="a4">
    <w:name w:val="footer"/>
    <w:basedOn w:val="a"/>
    <w:pPr>
      <w:tabs>
        <w:tab w:val="center" w:pos="4153"/>
        <w:tab w:val="right" w:pos="8306"/>
      </w:tabs>
      <w:snapToGrid w:val="0"/>
    </w:pPr>
    <w:rPr>
      <w:sz w:val="20"/>
      <w:szCs w:val="20"/>
    </w:rPr>
  </w:style>
  <w:style w:type="paragraph" w:styleId="a5">
    <w:name w:val="header"/>
    <w:basedOn w:val="a"/>
    <w:pPr>
      <w:tabs>
        <w:tab w:val="center" w:pos="4153"/>
        <w:tab w:val="right" w:pos="8306"/>
      </w:tabs>
      <w:snapToGrid w:val="0"/>
    </w:pPr>
    <w:rPr>
      <w:sz w:val="20"/>
      <w:szCs w:val="20"/>
    </w:rPr>
  </w:style>
  <w:style w:type="character" w:styleId="a6">
    <w:name w:val="Hyperlink"/>
    <w:basedOn w:val="a0"/>
    <w:rPr>
      <w:color w:val="0000FF"/>
      <w:u w:val="single"/>
    </w:rPr>
  </w:style>
  <w:style w:type="paragraph" w:styleId="Web">
    <w:name w:val="Normal (Web)"/>
    <w:basedOn w:val="a"/>
    <w:pPr>
      <w:widowControl/>
      <w:spacing w:before="100" w:after="100"/>
    </w:pPr>
    <w:rPr>
      <w:rFonts w:ascii="新細明體" w:hAnsi="新細明體" w:cs="新細明體"/>
      <w:kern w:val="0"/>
      <w:szCs w:val="24"/>
    </w:rPr>
  </w:style>
  <w:style w:type="character" w:styleId="a7">
    <w:name w:val="Strong"/>
    <w:rPr>
      <w:b/>
      <w:bCs/>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paragraph" w:customStyle="1" w:styleId="TableParagraph">
    <w:name w:val="Table Paragraph"/>
    <w:basedOn w:val="a"/>
    <w:pPr>
      <w:autoSpaceDE w:val="0"/>
      <w:spacing w:line="325" w:lineRule="exact"/>
      <w:ind w:left="107"/>
    </w:pPr>
    <w:rPr>
      <w:rFonts w:ascii="UKIJ CJK" w:eastAsia="UKIJ CJK" w:hAnsi="UKIJ CJK" w:cs="UKIJ CJK"/>
      <w:kern w:val="0"/>
      <w:sz w:val="22"/>
    </w:rPr>
  </w:style>
  <w:style w:type="character" w:customStyle="1" w:styleId="aa">
    <w:name w:val="註解方塊文字 字元"/>
    <w:basedOn w:val="a0"/>
    <w:rPr>
      <w:rFonts w:ascii="Calibri Light" w:eastAsia="新細明體" w:hAnsi="Calibri Light" w:cs="Times New Roman"/>
      <w:sz w:val="18"/>
      <w:szCs w:val="18"/>
    </w:rPr>
  </w:style>
  <w:style w:type="paragraph" w:styleId="ab">
    <w:name w:val="List Paragraph"/>
    <w:basedOn w:val="a"/>
    <w:pPr>
      <w:ind w:left="480"/>
    </w:pPr>
  </w:style>
  <w:style w:type="character" w:customStyle="1" w:styleId="20">
    <w:name w:val="標題 2 字元"/>
    <w:basedOn w:val="a0"/>
    <w:rPr>
      <w:rFonts w:ascii="新細明體" w:eastAsia="新細明體" w:hAnsi="新細明體" w:cs="新細明體"/>
      <w:b/>
      <w:bCs/>
      <w:kern w:val="0"/>
      <w:sz w:val="36"/>
      <w:szCs w:val="36"/>
    </w:rPr>
  </w:style>
  <w:style w:type="character" w:customStyle="1" w:styleId="10">
    <w:name w:val="標題 1 字元"/>
    <w:basedOn w:val="a0"/>
    <w:rPr>
      <w:rFonts w:ascii="Calibri Light" w:eastAsia="新細明體" w:hAnsi="Calibri Light" w:cs="Times New Roman"/>
      <w:b/>
      <w:bCs/>
      <w:kern w:val="3"/>
      <w:sz w:val="52"/>
      <w:szCs w:val="52"/>
    </w:rPr>
  </w:style>
  <w:style w:type="character" w:customStyle="1" w:styleId="30">
    <w:name w:val="標題 3 字元"/>
    <w:basedOn w:val="a0"/>
    <w:rPr>
      <w:rFonts w:ascii="Calibri Light" w:eastAsia="新細明體" w:hAnsi="Calibri Light" w:cs="Times New Roman"/>
      <w:b/>
      <w:bCs/>
      <w:sz w:val="36"/>
      <w:szCs w:val="36"/>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sr-only">
    <w:name w:val="sr-only"/>
    <w:basedOn w:val="a0"/>
  </w:style>
  <w:style w:type="character" w:customStyle="1" w:styleId="jsgrdq">
    <w:name w:val="jsgrdq"/>
    <w:basedOn w:val="a0"/>
  </w:style>
  <w:style w:type="character" w:styleId="ac">
    <w:name w:val="FollowedHyperlink"/>
    <w:basedOn w:val="a0"/>
    <w:rPr>
      <w:color w:val="954F72"/>
      <w:u w:val="single"/>
    </w:rPr>
  </w:style>
  <w:style w:type="paragraph" w:styleId="ad">
    <w:name w:val="annotation text"/>
    <w:basedOn w:val="a"/>
  </w:style>
  <w:style w:type="character" w:customStyle="1" w:styleId="ae">
    <w:name w:val="註解文字 字元"/>
    <w:basedOn w:val="a0"/>
    <w:rPr>
      <w:rFonts w:ascii="Calibri" w:eastAsia="新細明體" w:hAnsi="Calibri" w:cs="Times New Roman"/>
      <w:kern w:val="3"/>
      <w:sz w:val="24"/>
      <w:szCs w:val="22"/>
    </w:rPr>
  </w:style>
  <w:style w:type="paragraph" w:styleId="af">
    <w:name w:val="annotation subject"/>
    <w:basedOn w:val="ad"/>
    <w:next w:val="ad"/>
    <w:rPr>
      <w:rFonts w:ascii="Times New Roman" w:hAnsi="Times New Roman"/>
      <w:b/>
      <w:bCs/>
      <w:szCs w:val="20"/>
    </w:rPr>
  </w:style>
  <w:style w:type="character" w:customStyle="1" w:styleId="af0">
    <w:name w:val="註解主旨 字元"/>
    <w:basedOn w:val="ae"/>
    <w:rPr>
      <w:rFonts w:ascii="Calibri" w:eastAsia="新細明體" w:hAnsi="Calibri" w:cs="Times New Roman"/>
      <w:b/>
      <w:bCs/>
      <w:kern w:val="3"/>
      <w:sz w:val="24"/>
      <w:szCs w:val="22"/>
    </w:rPr>
  </w:style>
  <w:style w:type="paragraph" w:styleId="31">
    <w:name w:val="Body Text 3"/>
    <w:basedOn w:val="a"/>
    <w:pPr>
      <w:autoSpaceDE w:val="0"/>
      <w:jc w:val="both"/>
      <w:textAlignment w:val="center"/>
    </w:pPr>
    <w:rPr>
      <w:rFonts w:ascii="標楷體" w:eastAsia="標楷體" w:hAnsi="標楷體"/>
      <w:sz w:val="28"/>
      <w:szCs w:val="20"/>
    </w:rPr>
  </w:style>
  <w:style w:type="character" w:customStyle="1" w:styleId="32">
    <w:name w:val="本文 3 字元"/>
    <w:basedOn w:val="a0"/>
    <w:rPr>
      <w:rFonts w:ascii="標楷體" w:eastAsia="標楷體" w:hAnsi="標楷體"/>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tshb.tw/hc03deaf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黃湘婷</dc:creator>
  <cp:lastModifiedBy>張紹宸</cp:lastModifiedBy>
  <cp:revision>10</cp:revision>
  <cp:lastPrinted>2023-10-27T02:06:00Z</cp:lastPrinted>
  <dcterms:created xsi:type="dcterms:W3CDTF">2025-03-25T01:58:00Z</dcterms:created>
  <dcterms:modified xsi:type="dcterms:W3CDTF">2025-04-08T03:49:00Z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ies>
</file>