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84B26" w14:textId="6BAC136B" w:rsidR="00DA74EE" w:rsidRPr="00223681" w:rsidRDefault="00410145" w:rsidP="00611090">
      <w:pPr>
        <w:spacing w:line="160" w:lineRule="atLeast"/>
        <w:jc w:val="right"/>
        <w:rPr>
          <w:sz w:val="26"/>
          <w:szCs w:val="26"/>
        </w:rPr>
      </w:pPr>
      <w:r w:rsidRPr="00223681">
        <w:rPr>
          <w:rFonts w:ascii="標楷體" w:eastAsia="標楷體" w:hAnsi="標楷體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C50F" wp14:editId="1D8BE212">
                <wp:simplePos x="0" y="0"/>
                <wp:positionH relativeFrom="margin">
                  <wp:posOffset>3670300</wp:posOffset>
                </wp:positionH>
                <wp:positionV relativeFrom="paragraph">
                  <wp:posOffset>-741680</wp:posOffset>
                </wp:positionV>
                <wp:extent cx="2689860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6BA6F" w14:textId="77777777" w:rsidR="00B302DC" w:rsidRPr="003514DB" w:rsidRDefault="00B302DC" w:rsidP="00B302DC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14:paraId="017AFBA9" w14:textId="12B96EF8" w:rsidR="00B302DC" w:rsidRPr="003514DB" w:rsidRDefault="001B06F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淑華</w:t>
                            </w:r>
                            <w:r w:rsidR="00B302D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B302D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14:paraId="661532DF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14:paraId="564D82DB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5C5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9pt;margin-top:-58.4pt;width:211.8pt;height:5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" filled="f" stroked="f">
                <v:textbox>
                  <w:txbxContent>
                    <w:p w14:paraId="1096BA6F" w14:textId="77777777" w:rsidR="00B302DC" w:rsidRPr="003514DB" w:rsidRDefault="00B302DC" w:rsidP="00B302DC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14:paraId="017AFBA9" w14:textId="12B96EF8" w:rsidR="00B302DC" w:rsidRPr="003514DB" w:rsidRDefault="001B06F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</w:t>
                      </w:r>
                      <w:r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淑華</w:t>
                      </w:r>
                      <w:r w:rsidR="00B302D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B302D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14:paraId="661532DF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14:paraId="564D82DB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3681">
        <w:rPr>
          <w:rFonts w:ascii="標楷體" w:eastAsia="標楷體" w:hAnsi="標楷體" w:hint="eastAsia"/>
          <w:noProof/>
          <w:sz w:val="18"/>
        </w:rPr>
        <w:drawing>
          <wp:anchor distT="0" distB="0" distL="114300" distR="114300" simplePos="0" relativeHeight="251661312" behindDoc="1" locked="0" layoutInCell="1" allowOverlap="1" wp14:anchorId="64E68BE0" wp14:editId="3AA99C05">
            <wp:simplePos x="0" y="0"/>
            <wp:positionH relativeFrom="margin">
              <wp:posOffset>0</wp:posOffset>
            </wp:positionH>
            <wp:positionV relativeFrom="paragraph">
              <wp:posOffset>-738505</wp:posOffset>
            </wp:positionV>
            <wp:extent cx="1857375" cy="675005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EE" w:rsidRPr="00223681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</w:t>
      </w:r>
      <w:r w:rsidR="00485CF9" w:rsidRPr="00223681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</w:p>
    <w:p w14:paraId="64777806" w14:textId="02D573A9" w:rsidR="007B07B1" w:rsidRDefault="00A0183E" w:rsidP="007B07B1">
      <w:pPr>
        <w:spacing w:beforeLines="50" w:before="180" w:line="400" w:lineRule="exact"/>
        <w:jc w:val="center"/>
        <w:rPr>
          <w:rFonts w:ascii="標楷體" w:eastAsia="標楷體" w:hAnsi="標楷體" w:cs="微軟正黑體"/>
          <w:b/>
          <w:bCs/>
          <w:sz w:val="36"/>
          <w:szCs w:val="36"/>
        </w:rPr>
      </w:pPr>
      <w:r w:rsidRPr="00A0183E">
        <w:rPr>
          <w:rFonts w:ascii="標楷體" w:eastAsia="標楷體" w:hAnsi="標楷體" w:cs="微軟正黑體" w:hint="eastAsia"/>
          <w:b/>
          <w:bCs/>
          <w:sz w:val="36"/>
          <w:szCs w:val="36"/>
        </w:rPr>
        <w:t>響應世界結核病日　仁愛鄉全村篩檢守護原鄉健康</w:t>
      </w:r>
    </w:p>
    <w:p w14:paraId="6A7B5F89" w14:textId="07119880" w:rsidR="00097652" w:rsidRPr="00223681" w:rsidRDefault="00353B19" w:rsidP="007B07B1">
      <w:pPr>
        <w:spacing w:beforeLines="50" w:before="180" w:line="400" w:lineRule="exact"/>
        <w:jc w:val="center"/>
        <w:rPr>
          <w:rFonts w:ascii="標楷體" w:eastAsia="標楷體" w:hAnsi="標楷體" w:cs="微軟正黑體"/>
          <w:b/>
          <w:bCs/>
          <w:sz w:val="36"/>
          <w:szCs w:val="36"/>
        </w:rPr>
      </w:pPr>
      <w:r>
        <w:rPr>
          <w:rFonts w:ascii="標楷體" w:eastAsia="標楷體" w:hAnsi="標楷體" w:cs="微軟正黑體" w:hint="eastAsia"/>
          <w:b/>
          <w:bCs/>
          <w:sz w:val="36"/>
          <w:szCs w:val="36"/>
        </w:rPr>
        <w:t>2</w:t>
      </w:r>
      <w:r>
        <w:rPr>
          <w:rFonts w:ascii="標楷體" w:eastAsia="標楷體" w:hAnsi="標楷體" w:cs="微軟正黑體"/>
          <w:b/>
          <w:bCs/>
          <w:sz w:val="36"/>
          <w:szCs w:val="36"/>
        </w:rPr>
        <w:t>0</w:t>
      </w:r>
      <w:r w:rsidR="00097652">
        <w:rPr>
          <w:rFonts w:ascii="標楷體" w:eastAsia="標楷體" w:hAnsi="標楷體" w:cs="微軟正黑體"/>
          <w:b/>
          <w:bCs/>
          <w:sz w:val="36"/>
          <w:szCs w:val="36"/>
        </w:rPr>
        <w:t>年防治</w:t>
      </w:r>
      <w:r w:rsidR="0041727E">
        <w:rPr>
          <w:rFonts w:ascii="標楷體" w:eastAsia="標楷體" w:hAnsi="標楷體" w:cs="微軟正黑體" w:hint="eastAsia"/>
          <w:b/>
          <w:bCs/>
          <w:sz w:val="36"/>
          <w:szCs w:val="36"/>
        </w:rPr>
        <w:t>有成</w:t>
      </w:r>
      <w:bookmarkStart w:id="0" w:name="_GoBack"/>
      <w:bookmarkEnd w:id="0"/>
      <w:r w:rsidR="00097652">
        <w:rPr>
          <w:rFonts w:ascii="標楷體" w:eastAsia="標楷體" w:hAnsi="標楷體" w:cs="微軟正黑體" w:hint="eastAsia"/>
          <w:b/>
          <w:bCs/>
          <w:sz w:val="36"/>
          <w:szCs w:val="36"/>
        </w:rPr>
        <w:t xml:space="preserve"> 結核病發生率下降</w:t>
      </w:r>
      <w:r>
        <w:rPr>
          <w:rFonts w:ascii="標楷體" w:eastAsia="標楷體" w:hAnsi="標楷體" w:cs="微軟正黑體"/>
          <w:b/>
          <w:bCs/>
          <w:sz w:val="36"/>
          <w:szCs w:val="36"/>
        </w:rPr>
        <w:t>89</w:t>
      </w:r>
      <w:r w:rsidR="00097652">
        <w:rPr>
          <w:rFonts w:ascii="標楷體" w:eastAsia="標楷體" w:hAnsi="標楷體" w:cs="微軟正黑體"/>
          <w:b/>
          <w:bCs/>
          <w:sz w:val="36"/>
          <w:szCs w:val="36"/>
        </w:rPr>
        <w:t>%</w:t>
      </w:r>
    </w:p>
    <w:p w14:paraId="4249C00E" w14:textId="77777777" w:rsidR="00A0183E" w:rsidRDefault="00C6189B" w:rsidP="005A4D66">
      <w:pPr>
        <w:spacing w:beforeLines="50" w:before="180" w:line="400" w:lineRule="exact"/>
        <w:ind w:firstLine="48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為響應3月24日世界結核病日，</w:t>
      </w:r>
      <w:r w:rsidR="00A0183E" w:rsidRPr="00A0183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並持續強化原鄉地區結核病防治工作，南投縣政府衛生局結合仁愛鄉衛生所，於 3月18日至19日前往仁愛鄉發祥村、翠華村及力行村</w:t>
      </w:r>
      <w:r w:rsidR="00A0183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="00A0183E" w:rsidRPr="00A0183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辦理全村潛伏結核感染（LTBI</w:t>
      </w:r>
      <w:r w:rsidR="00A0183E">
        <w:rPr>
          <w:rFonts w:ascii="標楷體" w:eastAsia="標楷體" w:hAnsi="標楷體" w:cs="Arial"/>
          <w:sz w:val="28"/>
          <w:szCs w:val="28"/>
          <w:shd w:val="clear" w:color="auto" w:fill="FFFFFF"/>
        </w:rPr>
        <w:t>）</w:t>
      </w:r>
      <w:r w:rsidR="00A0183E" w:rsidRPr="00A0183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篩檢及胸部X光檢查，透過主動走入部落提供健康服務，讓居民在社區即可接受篩檢，及早發現、及早治療，共同守護原鄉居民健康。</w:t>
      </w:r>
    </w:p>
    <w:p w14:paraId="6BFDC06F" w14:textId="2524BE1F" w:rsidR="00A0183E" w:rsidRPr="00223681" w:rsidRDefault="00A0183E" w:rsidP="00A0183E">
      <w:pPr>
        <w:spacing w:beforeLines="50" w:before="180" w:line="400" w:lineRule="exact"/>
        <w:ind w:firstLine="48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本縣結核病發生率由</w:t>
      </w:r>
      <w:r w:rsidR="00160F27">
        <w:rPr>
          <w:rFonts w:ascii="標楷體" w:eastAsia="標楷體" w:hAnsi="標楷體" w:cs="Arial"/>
          <w:sz w:val="28"/>
          <w:szCs w:val="28"/>
          <w:shd w:val="clear" w:color="auto" w:fill="FFFFFF"/>
        </w:rPr>
        <w:t>94</w:t>
      </w:r>
      <w:r w:rsidR="00160F27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年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每十萬人口</w:t>
      </w:r>
      <w:r w:rsidR="00097652">
        <w:rPr>
          <w:rFonts w:ascii="標楷體" w:eastAsia="標楷體" w:hAnsi="標楷體" w:cs="Arial"/>
          <w:sz w:val="28"/>
          <w:szCs w:val="28"/>
          <w:shd w:val="clear" w:color="auto" w:fill="FFFFFF"/>
        </w:rPr>
        <w:t>97.8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人下降至</w:t>
      </w:r>
      <w:r w:rsidR="00353B1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11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4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年的每十萬人口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29.6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人，降幅為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69.7%</w:t>
      </w:r>
      <w:r w:rsidR="00353B1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，仁愛鄉發生率則由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94</w:t>
      </w:r>
      <w:r w:rsidR="00353B19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年每十萬人口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534.6</w:t>
      </w:r>
      <w:r w:rsidR="00353B19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人下降至</w:t>
      </w:r>
      <w:r w:rsidR="00353B1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11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4</w:t>
      </w:r>
      <w:r w:rsidR="00353B19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年的每十萬人口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58.6</w:t>
      </w:r>
      <w:r w:rsidR="00353B19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人，降幅</w:t>
      </w:r>
      <w:r w:rsidR="00353B1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高達</w:t>
      </w:r>
      <w:r w:rsidR="00353B19">
        <w:rPr>
          <w:rFonts w:ascii="標楷體" w:eastAsia="標楷體" w:hAnsi="標楷體" w:cs="Arial"/>
          <w:sz w:val="28"/>
          <w:szCs w:val="28"/>
          <w:shd w:val="clear" w:color="auto" w:fill="FFFFFF"/>
        </w:rPr>
        <w:t>89%。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為達成2035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年消除結核目標，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衛生局積極推動</w:t>
      </w:r>
      <w:r w:rsidR="009A6FB9" w:rsidRPr="00A0183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潛伏結核感染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檢驗與治療，由結核病接觸者優先執行，並逐步擴大推動至山地原鄉、長照機構住民與工作人員、矯正機關收容人與工作人員、結核病高風險國家的新住民(印尼、越南及柬埔寨)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、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高風險及共病族群(愛滋感染者、洗腎病人、慢性阻塞性肺病、免疫不佳者等)。</w:t>
      </w:r>
      <w:r w:rsidRPr="00357D8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結核病雖為可治癒疾病，但仍具傳染性，唯有透過早期發現、規律治療及全民共同參與，才能有效降低疫情、守護公共健康。</w:t>
      </w:r>
    </w:p>
    <w:p w14:paraId="6AAA3599" w14:textId="4EC75E9F" w:rsidR="00032B70" w:rsidRDefault="000D3031" w:rsidP="00032B70">
      <w:pPr>
        <w:spacing w:beforeLines="100" w:before="360" w:line="40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衛生局局長陳南松表示，</w:t>
      </w:r>
      <w:r w:rsidR="00032B70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偏鄉</w:t>
      </w:r>
      <w:r w:rsidR="00F200F1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因交通不便且</w:t>
      </w:r>
      <w:r w:rsidR="00032B70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醫療資源較為有限，透過衛生局(所)及</w:t>
      </w:r>
      <w:r w:rsidR="00B11A2D" w:rsidRPr="00B11A2D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埔基醫療財團法人埔里基督教醫院</w:t>
      </w:r>
      <w:r w:rsidR="00032B70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主動深入原鄉部落提供篩檢服務，可有效降低結核病傳播機會，民眾若出現</w:t>
      </w:r>
      <w:r w:rsidR="00357D84" w:rsidRPr="00357D8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持續咳嗽超過兩週、咳痰、胸悶或胸痛、發燒、夜間盜汗及體重減輕等</w:t>
      </w:r>
      <w:r w:rsidR="00357D84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相關症狀，應儘速就醫檢查，避免延誤治療並降低傳播風險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47CD3BB6" w14:textId="6B72EA82" w:rsidR="000A257C" w:rsidRPr="00223681" w:rsidRDefault="004B4FEF" w:rsidP="00FD2E87">
      <w:pPr>
        <w:spacing w:beforeLines="50" w:before="180" w:line="400" w:lineRule="exact"/>
        <w:ind w:firstLine="480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陳南松</w:t>
      </w:r>
      <w:r w:rsidR="00546C9C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局長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呼籲民眾，結核病需要政府與民間齊心防治，</w:t>
      </w:r>
      <w:r w:rsidR="00FD2E87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除原鄉地區、高風險及共病族群外，50歲以上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民眾</w:t>
      </w:r>
      <w:r w:rsidR="00FD2E87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也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要有警覺，</w:t>
      </w:r>
      <w:r w:rsidR="00FD2E87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1年1次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定期做胸部X</w:t>
      </w:r>
      <w:r w:rsidR="00A61947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光檢查，倘有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異常，只要配合醫師指示</w:t>
      </w:r>
      <w:r w:rsidR="00A61947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用藥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及落實「送藥到手、服藥入口、吃完再走」3步驟，持續按時服藥6至9</w:t>
      </w:r>
      <w:r w:rsidR="00330CB6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個月，即能有效治癒結核病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。若有相關疑問，可至南投縣政府衛生局網站查詢（https://ntshb.tw/hc03xRFBb），或請洽本縣</w:t>
      </w:r>
      <w:r w:rsidR="0055161D"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各鄉鎮市衛生所</w:t>
      </w:r>
      <w:r w:rsidRPr="00223681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sectPr w:rsidR="000A257C" w:rsidRPr="00223681" w:rsidSect="007E1F5F">
      <w:pgSz w:w="11907" w:h="16839" w:code="9"/>
      <w:pgMar w:top="136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A55BC" w14:textId="77777777" w:rsidR="006E7DEE" w:rsidRDefault="006E7DEE" w:rsidP="001E6A8D">
      <w:r>
        <w:separator/>
      </w:r>
    </w:p>
  </w:endnote>
  <w:endnote w:type="continuationSeparator" w:id="0">
    <w:p w14:paraId="10AE0CEC" w14:textId="77777777" w:rsidR="006E7DEE" w:rsidRDefault="006E7DEE" w:rsidP="001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40774" w14:textId="77777777" w:rsidR="006E7DEE" w:rsidRDefault="006E7DEE" w:rsidP="001E6A8D">
      <w:r>
        <w:separator/>
      </w:r>
    </w:p>
  </w:footnote>
  <w:footnote w:type="continuationSeparator" w:id="0">
    <w:p w14:paraId="2784C2AE" w14:textId="77777777" w:rsidR="006E7DEE" w:rsidRDefault="006E7DEE" w:rsidP="001E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A793F"/>
    <w:multiLevelType w:val="hybridMultilevel"/>
    <w:tmpl w:val="858019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692246"/>
    <w:multiLevelType w:val="hybridMultilevel"/>
    <w:tmpl w:val="12464612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7"/>
    <w:rsid w:val="00004A03"/>
    <w:rsid w:val="000055BD"/>
    <w:rsid w:val="00005995"/>
    <w:rsid w:val="00010346"/>
    <w:rsid w:val="000130A7"/>
    <w:rsid w:val="00032B70"/>
    <w:rsid w:val="00040AA4"/>
    <w:rsid w:val="000502D7"/>
    <w:rsid w:val="0005753A"/>
    <w:rsid w:val="00081AF5"/>
    <w:rsid w:val="00083DAA"/>
    <w:rsid w:val="00097652"/>
    <w:rsid w:val="00097CE5"/>
    <w:rsid w:val="000A257C"/>
    <w:rsid w:val="000B5404"/>
    <w:rsid w:val="000B6E42"/>
    <w:rsid w:val="000D3031"/>
    <w:rsid w:val="000F173C"/>
    <w:rsid w:val="000F3499"/>
    <w:rsid w:val="001076FC"/>
    <w:rsid w:val="00117B22"/>
    <w:rsid w:val="00121F46"/>
    <w:rsid w:val="0013201C"/>
    <w:rsid w:val="001338C0"/>
    <w:rsid w:val="00153637"/>
    <w:rsid w:val="00160F27"/>
    <w:rsid w:val="00165FE2"/>
    <w:rsid w:val="0017375C"/>
    <w:rsid w:val="00182BD9"/>
    <w:rsid w:val="0019426F"/>
    <w:rsid w:val="00194304"/>
    <w:rsid w:val="001A1DA8"/>
    <w:rsid w:val="001B0392"/>
    <w:rsid w:val="001B06FC"/>
    <w:rsid w:val="001B09F4"/>
    <w:rsid w:val="001C2DFF"/>
    <w:rsid w:val="001C5447"/>
    <w:rsid w:val="001E65F7"/>
    <w:rsid w:val="001E6A8D"/>
    <w:rsid w:val="001F1C58"/>
    <w:rsid w:val="002001AA"/>
    <w:rsid w:val="002030E2"/>
    <w:rsid w:val="00222E6A"/>
    <w:rsid w:val="00223681"/>
    <w:rsid w:val="0022369F"/>
    <w:rsid w:val="002240D8"/>
    <w:rsid w:val="00231A68"/>
    <w:rsid w:val="00247AF1"/>
    <w:rsid w:val="00252451"/>
    <w:rsid w:val="002530AD"/>
    <w:rsid w:val="002908E9"/>
    <w:rsid w:val="002A0241"/>
    <w:rsid w:val="002A61F2"/>
    <w:rsid w:val="002E262C"/>
    <w:rsid w:val="00306DB5"/>
    <w:rsid w:val="003135F1"/>
    <w:rsid w:val="0032256A"/>
    <w:rsid w:val="00330CB6"/>
    <w:rsid w:val="00331B4F"/>
    <w:rsid w:val="00346949"/>
    <w:rsid w:val="00346CB4"/>
    <w:rsid w:val="00351977"/>
    <w:rsid w:val="00353B19"/>
    <w:rsid w:val="00357D84"/>
    <w:rsid w:val="00390BA4"/>
    <w:rsid w:val="003927F3"/>
    <w:rsid w:val="003A7541"/>
    <w:rsid w:val="003B3271"/>
    <w:rsid w:val="003E66CA"/>
    <w:rsid w:val="003F67AC"/>
    <w:rsid w:val="003F6FE5"/>
    <w:rsid w:val="00401712"/>
    <w:rsid w:val="00410145"/>
    <w:rsid w:val="004119B5"/>
    <w:rsid w:val="00417021"/>
    <w:rsid w:val="0041727E"/>
    <w:rsid w:val="00422B79"/>
    <w:rsid w:val="00425E6B"/>
    <w:rsid w:val="00431BCD"/>
    <w:rsid w:val="00437E7B"/>
    <w:rsid w:val="00445B4D"/>
    <w:rsid w:val="00447563"/>
    <w:rsid w:val="004560C8"/>
    <w:rsid w:val="004641A7"/>
    <w:rsid w:val="004817E7"/>
    <w:rsid w:val="00484657"/>
    <w:rsid w:val="00485A18"/>
    <w:rsid w:val="00485CF9"/>
    <w:rsid w:val="00490881"/>
    <w:rsid w:val="004B1ED1"/>
    <w:rsid w:val="004B4FEF"/>
    <w:rsid w:val="004B5C56"/>
    <w:rsid w:val="004B7C2A"/>
    <w:rsid w:val="004C0ACF"/>
    <w:rsid w:val="004C4286"/>
    <w:rsid w:val="004E0484"/>
    <w:rsid w:val="004E19F9"/>
    <w:rsid w:val="004F1257"/>
    <w:rsid w:val="004F268B"/>
    <w:rsid w:val="00515253"/>
    <w:rsid w:val="00516650"/>
    <w:rsid w:val="005178E9"/>
    <w:rsid w:val="00527D24"/>
    <w:rsid w:val="00546C9C"/>
    <w:rsid w:val="0055161D"/>
    <w:rsid w:val="00554E27"/>
    <w:rsid w:val="005564FE"/>
    <w:rsid w:val="0056069B"/>
    <w:rsid w:val="005A424F"/>
    <w:rsid w:val="005A4D66"/>
    <w:rsid w:val="005A7A17"/>
    <w:rsid w:val="005B3265"/>
    <w:rsid w:val="005C7829"/>
    <w:rsid w:val="005E36D6"/>
    <w:rsid w:val="005E48B9"/>
    <w:rsid w:val="005F3C41"/>
    <w:rsid w:val="00611090"/>
    <w:rsid w:val="006112DC"/>
    <w:rsid w:val="0061655E"/>
    <w:rsid w:val="00620312"/>
    <w:rsid w:val="006345FE"/>
    <w:rsid w:val="00634842"/>
    <w:rsid w:val="00635891"/>
    <w:rsid w:val="00644DD8"/>
    <w:rsid w:val="00650BD4"/>
    <w:rsid w:val="00652477"/>
    <w:rsid w:val="00660263"/>
    <w:rsid w:val="0066346E"/>
    <w:rsid w:val="00685837"/>
    <w:rsid w:val="00691DE3"/>
    <w:rsid w:val="00693F9A"/>
    <w:rsid w:val="006964CB"/>
    <w:rsid w:val="006A0B32"/>
    <w:rsid w:val="006B11FD"/>
    <w:rsid w:val="006B28AC"/>
    <w:rsid w:val="006C37C8"/>
    <w:rsid w:val="006D03C7"/>
    <w:rsid w:val="006E0507"/>
    <w:rsid w:val="006E7DEE"/>
    <w:rsid w:val="006F2158"/>
    <w:rsid w:val="006F4D91"/>
    <w:rsid w:val="00700F72"/>
    <w:rsid w:val="00720D56"/>
    <w:rsid w:val="00734E8A"/>
    <w:rsid w:val="00734FAB"/>
    <w:rsid w:val="00737772"/>
    <w:rsid w:val="00761ADB"/>
    <w:rsid w:val="007832FD"/>
    <w:rsid w:val="00784C0E"/>
    <w:rsid w:val="00796FD5"/>
    <w:rsid w:val="007A3637"/>
    <w:rsid w:val="007B07B1"/>
    <w:rsid w:val="007B3AF6"/>
    <w:rsid w:val="007D67A4"/>
    <w:rsid w:val="007E1F5F"/>
    <w:rsid w:val="007F4686"/>
    <w:rsid w:val="0080674F"/>
    <w:rsid w:val="0081034A"/>
    <w:rsid w:val="00813C49"/>
    <w:rsid w:val="00814CE1"/>
    <w:rsid w:val="00831AF7"/>
    <w:rsid w:val="00841160"/>
    <w:rsid w:val="00846E1F"/>
    <w:rsid w:val="008548D7"/>
    <w:rsid w:val="008635F8"/>
    <w:rsid w:val="00873845"/>
    <w:rsid w:val="008A233E"/>
    <w:rsid w:val="008A73D9"/>
    <w:rsid w:val="008B00D7"/>
    <w:rsid w:val="008B11C0"/>
    <w:rsid w:val="008C5BB5"/>
    <w:rsid w:val="008D706F"/>
    <w:rsid w:val="008D7691"/>
    <w:rsid w:val="008E121F"/>
    <w:rsid w:val="008F591E"/>
    <w:rsid w:val="008F6552"/>
    <w:rsid w:val="008F746D"/>
    <w:rsid w:val="0090728B"/>
    <w:rsid w:val="00916202"/>
    <w:rsid w:val="00931F29"/>
    <w:rsid w:val="00933C6C"/>
    <w:rsid w:val="00935AFD"/>
    <w:rsid w:val="00936D79"/>
    <w:rsid w:val="00954B9E"/>
    <w:rsid w:val="00966951"/>
    <w:rsid w:val="0097395D"/>
    <w:rsid w:val="0098054E"/>
    <w:rsid w:val="00990407"/>
    <w:rsid w:val="009A4FE5"/>
    <w:rsid w:val="009A6FB9"/>
    <w:rsid w:val="009C090E"/>
    <w:rsid w:val="009F07D2"/>
    <w:rsid w:val="009F2C4A"/>
    <w:rsid w:val="009F2D52"/>
    <w:rsid w:val="00A0183E"/>
    <w:rsid w:val="00A37302"/>
    <w:rsid w:val="00A45D05"/>
    <w:rsid w:val="00A60D0A"/>
    <w:rsid w:val="00A61231"/>
    <w:rsid w:val="00A61947"/>
    <w:rsid w:val="00A80921"/>
    <w:rsid w:val="00A855CA"/>
    <w:rsid w:val="00AA0B61"/>
    <w:rsid w:val="00AB13E1"/>
    <w:rsid w:val="00AB7934"/>
    <w:rsid w:val="00AC2827"/>
    <w:rsid w:val="00AC3D6A"/>
    <w:rsid w:val="00AD2FB5"/>
    <w:rsid w:val="00AD44FC"/>
    <w:rsid w:val="00AD4E99"/>
    <w:rsid w:val="00AE704F"/>
    <w:rsid w:val="00AF211E"/>
    <w:rsid w:val="00AF6FEE"/>
    <w:rsid w:val="00B11A2D"/>
    <w:rsid w:val="00B1723D"/>
    <w:rsid w:val="00B20F21"/>
    <w:rsid w:val="00B2493E"/>
    <w:rsid w:val="00B302DC"/>
    <w:rsid w:val="00B321DF"/>
    <w:rsid w:val="00B33A27"/>
    <w:rsid w:val="00B3562A"/>
    <w:rsid w:val="00B40163"/>
    <w:rsid w:val="00B423F3"/>
    <w:rsid w:val="00B50C12"/>
    <w:rsid w:val="00B51650"/>
    <w:rsid w:val="00B53880"/>
    <w:rsid w:val="00B54C78"/>
    <w:rsid w:val="00B56FAD"/>
    <w:rsid w:val="00B7676A"/>
    <w:rsid w:val="00B80C67"/>
    <w:rsid w:val="00B81867"/>
    <w:rsid w:val="00B8246F"/>
    <w:rsid w:val="00B95B17"/>
    <w:rsid w:val="00BA7689"/>
    <w:rsid w:val="00BC393F"/>
    <w:rsid w:val="00BC3B25"/>
    <w:rsid w:val="00BE4F91"/>
    <w:rsid w:val="00BF6167"/>
    <w:rsid w:val="00C01A4E"/>
    <w:rsid w:val="00C24770"/>
    <w:rsid w:val="00C301EF"/>
    <w:rsid w:val="00C400E6"/>
    <w:rsid w:val="00C43D73"/>
    <w:rsid w:val="00C6189B"/>
    <w:rsid w:val="00C61F14"/>
    <w:rsid w:val="00C63676"/>
    <w:rsid w:val="00C67218"/>
    <w:rsid w:val="00C742D2"/>
    <w:rsid w:val="00C82EB0"/>
    <w:rsid w:val="00CA0350"/>
    <w:rsid w:val="00CB5043"/>
    <w:rsid w:val="00CB7B11"/>
    <w:rsid w:val="00CC6044"/>
    <w:rsid w:val="00CE2CA7"/>
    <w:rsid w:val="00CE3A26"/>
    <w:rsid w:val="00CF6309"/>
    <w:rsid w:val="00D016BD"/>
    <w:rsid w:val="00D02642"/>
    <w:rsid w:val="00D103CA"/>
    <w:rsid w:val="00D33E6F"/>
    <w:rsid w:val="00D34807"/>
    <w:rsid w:val="00D36B0F"/>
    <w:rsid w:val="00D51357"/>
    <w:rsid w:val="00D546E0"/>
    <w:rsid w:val="00D57608"/>
    <w:rsid w:val="00D631A9"/>
    <w:rsid w:val="00D72746"/>
    <w:rsid w:val="00D8178F"/>
    <w:rsid w:val="00D971CD"/>
    <w:rsid w:val="00DA025B"/>
    <w:rsid w:val="00DA74EE"/>
    <w:rsid w:val="00DB6981"/>
    <w:rsid w:val="00DB77D8"/>
    <w:rsid w:val="00DC467C"/>
    <w:rsid w:val="00DC7091"/>
    <w:rsid w:val="00DD2280"/>
    <w:rsid w:val="00DD4D32"/>
    <w:rsid w:val="00DD6C1A"/>
    <w:rsid w:val="00DE14C4"/>
    <w:rsid w:val="00DE38F1"/>
    <w:rsid w:val="00DE5030"/>
    <w:rsid w:val="00DF29C5"/>
    <w:rsid w:val="00DF6315"/>
    <w:rsid w:val="00E039C0"/>
    <w:rsid w:val="00E345C4"/>
    <w:rsid w:val="00E45BD4"/>
    <w:rsid w:val="00E610FC"/>
    <w:rsid w:val="00E76B08"/>
    <w:rsid w:val="00E80F7D"/>
    <w:rsid w:val="00E92D1D"/>
    <w:rsid w:val="00EA1D82"/>
    <w:rsid w:val="00EA66E9"/>
    <w:rsid w:val="00EB4E67"/>
    <w:rsid w:val="00EE02AB"/>
    <w:rsid w:val="00EF00C0"/>
    <w:rsid w:val="00EF12AE"/>
    <w:rsid w:val="00EF5D43"/>
    <w:rsid w:val="00F023DF"/>
    <w:rsid w:val="00F076DA"/>
    <w:rsid w:val="00F11038"/>
    <w:rsid w:val="00F200F1"/>
    <w:rsid w:val="00F35697"/>
    <w:rsid w:val="00F36C1E"/>
    <w:rsid w:val="00F4711E"/>
    <w:rsid w:val="00F53EA7"/>
    <w:rsid w:val="00F57257"/>
    <w:rsid w:val="00F67ADC"/>
    <w:rsid w:val="00F7221C"/>
    <w:rsid w:val="00F846EA"/>
    <w:rsid w:val="00F933C8"/>
    <w:rsid w:val="00FA6048"/>
    <w:rsid w:val="00FB7962"/>
    <w:rsid w:val="00FC2809"/>
    <w:rsid w:val="00FC5E61"/>
    <w:rsid w:val="00FD0CA5"/>
    <w:rsid w:val="00FD2E87"/>
    <w:rsid w:val="00FD4D35"/>
    <w:rsid w:val="00FE2661"/>
    <w:rsid w:val="00FE3B6F"/>
    <w:rsid w:val="00FE5EA0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48AF55E0"/>
  <w15:chartTrackingRefBased/>
  <w15:docId w15:val="{AAB35738-7C8A-45AD-AFFC-AA32C64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29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29C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A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6A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54C7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30A7"/>
    <w:pPr>
      <w:ind w:leftChars="200" w:left="480"/>
    </w:pPr>
  </w:style>
  <w:style w:type="paragraph" w:customStyle="1" w:styleId="Default">
    <w:name w:val="Default"/>
    <w:qFormat/>
    <w:rsid w:val="005A4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D769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F17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173C"/>
  </w:style>
  <w:style w:type="character" w:customStyle="1" w:styleId="ae">
    <w:name w:val="註解文字 字元"/>
    <w:basedOn w:val="a0"/>
    <w:link w:val="ad"/>
    <w:uiPriority w:val="99"/>
    <w:semiHidden/>
    <w:rsid w:val="000F17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173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F173C"/>
    <w:rPr>
      <w:b/>
      <w:bCs/>
    </w:rPr>
  </w:style>
  <w:style w:type="table" w:styleId="af1">
    <w:name w:val="Table Grid"/>
    <w:basedOn w:val="a1"/>
    <w:uiPriority w:val="39"/>
    <w:rsid w:val="0072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20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王秀娟</dc:creator>
  <cp:keywords/>
  <dc:description/>
  <cp:lastModifiedBy>張育慈</cp:lastModifiedBy>
  <cp:revision>79</cp:revision>
  <cp:lastPrinted>2025-03-20T00:28:00Z</cp:lastPrinted>
  <dcterms:created xsi:type="dcterms:W3CDTF">2024-03-07T06:33:00Z</dcterms:created>
  <dcterms:modified xsi:type="dcterms:W3CDTF">2026-03-17T03:42:00Z</dcterms:modified>
</cp:coreProperties>
</file>