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6" w:rsidRPr="00795CE6" w:rsidRDefault="00795CE6" w:rsidP="00795CE6">
      <w:pPr>
        <w:widowControl/>
        <w:shd w:val="clear" w:color="auto" w:fill="F9F7F6"/>
        <w:jc w:val="center"/>
        <w:rPr>
          <w:rFonts w:ascii="標楷體" w:eastAsia="標楷體" w:hAnsi="標楷體" w:cs="Helvetica"/>
          <w:b/>
          <w:color w:val="000000" w:themeColor="text1"/>
          <w:spacing w:val="10"/>
          <w:kern w:val="0"/>
          <w:szCs w:val="24"/>
        </w:rPr>
      </w:pPr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南投縣信義鄉衛生所失</w:t>
      </w:r>
      <w:proofErr w:type="gramStart"/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智症照護</w:t>
      </w:r>
      <w:proofErr w:type="gramEnd"/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計畫</w:t>
      </w:r>
    </w:p>
    <w:p w:rsidR="00D61CE3" w:rsidRPr="00795CE6" w:rsidRDefault="00D61CE3" w:rsidP="00795CE6">
      <w:pPr>
        <w:widowControl/>
        <w:shd w:val="clear" w:color="auto" w:fill="F9F7F6"/>
        <w:rPr>
          <w:rFonts w:ascii="標楷體" w:eastAsia="標楷體" w:hAnsi="標楷體" w:cs="Helvetica"/>
          <w:b/>
          <w:color w:val="000000" w:themeColor="text1"/>
          <w:spacing w:val="10"/>
          <w:kern w:val="0"/>
          <w:szCs w:val="24"/>
        </w:rPr>
      </w:pPr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一、失</w:t>
      </w:r>
      <w:proofErr w:type="gramStart"/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智症照護</w:t>
      </w:r>
      <w:proofErr w:type="gramEnd"/>
      <w:r w:rsidRPr="00795CE6">
        <w:rPr>
          <w:rFonts w:ascii="標楷體" w:eastAsia="標楷體" w:hAnsi="標楷體" w:cs="Helvetica" w:hint="eastAsia"/>
          <w:b/>
          <w:color w:val="000000" w:themeColor="text1"/>
          <w:spacing w:val="10"/>
          <w:kern w:val="0"/>
          <w:szCs w:val="24"/>
        </w:rPr>
        <w:t>服務</w:t>
      </w:r>
    </w:p>
    <w:p w:rsidR="00795CE6" w:rsidRPr="00B17B04" w:rsidRDefault="00795CE6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>
        <w:rPr>
          <w:rFonts w:ascii="標楷體" w:eastAsia="標楷體" w:hAnsi="標楷體" w:cs="Helvetica"/>
          <w:color w:val="1C1B1B"/>
          <w:spacing w:val="10"/>
          <w:kern w:val="0"/>
          <w:szCs w:val="24"/>
        </w:rPr>
        <w:t xml:space="preserve">  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為協助失智者及其家庭，提供確診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到失智症照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護資源使用及相關專業</w:t>
      </w:r>
    </w:p>
    <w:p w:rsidR="00F95550" w:rsidRPr="00795CE6" w:rsidRDefault="00795CE6" w:rsidP="00795CE6">
      <w:pPr>
        <w:widowControl/>
        <w:shd w:val="clear" w:color="auto" w:fill="F9F7F6"/>
        <w:rPr>
          <w:rFonts w:ascii="標楷體" w:eastAsia="標楷體" w:hAnsi="標楷體" w:cs="Helvetica"/>
          <w:color w:val="1C1B1B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諮詢，</w:t>
      </w:r>
      <w:r w:rsidR="00E71329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信義鄉衛生所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提供</w:t>
      </w:r>
      <w:r w:rsidR="00D61CE3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:</w:t>
      </w:r>
    </w:p>
    <w:p w:rsidR="00F95550" w:rsidRPr="00B17B04" w:rsidRDefault="00E71329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(</w:t>
      </w:r>
      <w:proofErr w:type="gramStart"/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一</w:t>
      </w:r>
      <w:proofErr w:type="gramEnd"/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)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個案服務</w:t>
      </w:r>
    </w:p>
    <w:p w:rsidR="00F95550" w:rsidRPr="00B17B04" w:rsidRDefault="00E71329" w:rsidP="00795CE6">
      <w:pPr>
        <w:widowControl/>
        <w:shd w:val="clear" w:color="auto" w:fill="F9F7F6"/>
        <w:ind w:left="567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1</w:t>
      </w: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>、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對未確立診斷之疑似個案，協助完成就醫診斷。</w:t>
      </w:r>
    </w:p>
    <w:p w:rsidR="00795CE6" w:rsidRPr="00B17B04" w:rsidRDefault="00E71329" w:rsidP="00795CE6">
      <w:pPr>
        <w:widowControl/>
        <w:shd w:val="clear" w:color="auto" w:fill="F9F7F6"/>
        <w:ind w:left="-22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   2</w:t>
      </w: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>、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提供失智症及照顧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者於失智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不同階段，提供所需長期照顧與醫療</w:t>
      </w:r>
    </w:p>
    <w:p w:rsidR="00F95550" w:rsidRPr="00B17B04" w:rsidRDefault="00795CE6" w:rsidP="00795CE6">
      <w:pPr>
        <w:widowControl/>
        <w:shd w:val="clear" w:color="auto" w:fill="F9F7F6"/>
        <w:ind w:left="-22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   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照護服務之諮詢、協調、轉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介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與追蹤服務使用情形。</w:t>
      </w:r>
    </w:p>
    <w:p w:rsidR="00F95550" w:rsidRPr="00B17B04" w:rsidRDefault="00E71329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(二)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連結轉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介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服務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br/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  </w:t>
      </w:r>
      <w:r w:rsidR="00795CE6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協助個案轉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銜適切長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照服務或其他社會資源。</w:t>
      </w:r>
    </w:p>
    <w:p w:rsidR="00795CE6" w:rsidRPr="00B17B04" w:rsidRDefault="00E71329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(三)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失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智</w:t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症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照護</w:t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衛</w:t>
      </w:r>
      <w:proofErr w:type="gramEnd"/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生教育與諮詢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br/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   信義鄉衛生所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可辦理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失智照護</w:t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衛</w:t>
      </w:r>
      <w:proofErr w:type="gramEnd"/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生教育與諮詢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，對象包括</w:t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一般民</w:t>
      </w:r>
      <w:r w:rsidR="00795CE6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眾</w:t>
      </w:r>
    </w:p>
    <w:p w:rsidR="00F95550" w:rsidRPr="00B17B04" w:rsidRDefault="00795CE6" w:rsidP="00795CE6">
      <w:pPr>
        <w:widowControl/>
        <w:shd w:val="clear" w:color="auto" w:fill="F9F7F6"/>
        <w:ind w:left="360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</w:t>
      </w:r>
      <w:r w:rsidR="00E71329"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>、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長照人員、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醫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事人員、照顧服務員及失智據點內之服務人員</w:t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等。</w:t>
      </w: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  </w:t>
      </w:r>
    </w:p>
    <w:p w:rsidR="00795CE6" w:rsidRPr="00B17B04" w:rsidRDefault="00D61CE3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/>
          <w:bCs/>
          <w:color w:val="000000" w:themeColor="text1"/>
          <w:spacing w:val="10"/>
          <w:kern w:val="0"/>
          <w:szCs w:val="24"/>
        </w:rPr>
        <w:t>(四)</w:t>
      </w:r>
      <w:r w:rsidR="00F95550" w:rsidRPr="00B17B04">
        <w:rPr>
          <w:rFonts w:ascii="標楷體" w:eastAsia="標楷體" w:hAnsi="標楷體" w:cs="Helvetica"/>
          <w:bCs/>
          <w:color w:val="000000" w:themeColor="text1"/>
          <w:spacing w:val="10"/>
          <w:kern w:val="0"/>
          <w:szCs w:val="24"/>
        </w:rPr>
        <w:t>失智服務據點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br/>
      </w:r>
      <w:r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   </w:t>
      </w:r>
      <w:r w:rsidR="00E71329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信義鄉衛生所委託竹山秀傳醫院於二樓設置</w:t>
      </w:r>
      <w:r w:rsidR="00E71329" w:rsidRPr="00B17B04">
        <w:rPr>
          <w:rFonts w:ascii="標楷體" w:eastAsia="標楷體" w:hAnsi="標楷體" w:cs="Helvetica"/>
          <w:bCs/>
          <w:color w:val="000000" w:themeColor="text1"/>
          <w:spacing w:val="10"/>
          <w:kern w:val="0"/>
          <w:szCs w:val="24"/>
        </w:rPr>
        <w:t>失智服務據點</w:t>
      </w:r>
      <w:r w:rsidR="00E71329" w:rsidRPr="00B17B04">
        <w:rPr>
          <w:rFonts w:ascii="標楷體" w:eastAsia="標楷體" w:hAnsi="標楷體" w:cs="Helvetica" w:hint="eastAsia"/>
          <w:b/>
          <w:bCs/>
          <w:color w:val="000000" w:themeColor="text1"/>
          <w:spacing w:val="10"/>
          <w:kern w:val="0"/>
          <w:szCs w:val="24"/>
        </w:rPr>
        <w:t>，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提供疑似</w:t>
      </w:r>
      <w:r w:rsidR="00795CE6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 xml:space="preserve"> </w:t>
      </w:r>
    </w:p>
    <w:p w:rsidR="00795CE6" w:rsidRPr="00B17B04" w:rsidRDefault="00795CE6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失智、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極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輕度至輕度失智者之認知功能促進、共餐及社會參與等長照</w:t>
      </w:r>
    </w:p>
    <w:p w:rsidR="00795CE6" w:rsidRPr="00B17B04" w:rsidRDefault="00795CE6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預防服務，功能類同巷</w:t>
      </w:r>
      <w:proofErr w:type="gramStart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弄長照站</w:t>
      </w:r>
      <w:proofErr w:type="gramEnd"/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等社區型學習場所；並針對失智者之</w:t>
      </w:r>
    </w:p>
    <w:p w:rsidR="00F95550" w:rsidRPr="00B17B04" w:rsidRDefault="00795CE6" w:rsidP="00795CE6">
      <w:pPr>
        <w:widowControl/>
        <w:shd w:val="clear" w:color="auto" w:fill="F9F7F6"/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</w:pPr>
      <w:r w:rsidRPr="00B17B04">
        <w:rPr>
          <w:rFonts w:ascii="標楷體" w:eastAsia="標楷體" w:hAnsi="標楷體" w:cs="Helvetica" w:hint="eastAsia"/>
          <w:color w:val="000000" w:themeColor="text1"/>
          <w:spacing w:val="10"/>
          <w:kern w:val="0"/>
          <w:szCs w:val="24"/>
        </w:rPr>
        <w:t xml:space="preserve">    </w:t>
      </w:r>
      <w:r w:rsidR="00F95550" w:rsidRPr="00B17B04">
        <w:rPr>
          <w:rFonts w:ascii="標楷體" w:eastAsia="標楷體" w:hAnsi="標楷體" w:cs="Helvetica"/>
          <w:color w:val="000000" w:themeColor="text1"/>
          <w:spacing w:val="10"/>
          <w:kern w:val="0"/>
          <w:szCs w:val="24"/>
        </w:rPr>
        <w:t>照顧者，提供照顧者支持團體及照顧者照顧訓練課程。</w:t>
      </w:r>
    </w:p>
    <w:p w:rsidR="00893F9F" w:rsidRDefault="008F5C8F" w:rsidP="00795CE6">
      <w:pPr>
        <w:rPr>
          <w:rFonts w:ascii="標楷體" w:eastAsia="標楷體" w:hAnsi="標楷體"/>
          <w:b/>
          <w:color w:val="000000" w:themeColor="text1"/>
          <w:szCs w:val="24"/>
        </w:rPr>
      </w:pPr>
      <w:r w:rsidRPr="00795CE6">
        <w:rPr>
          <w:rFonts w:ascii="標楷體" w:eastAsia="標楷體" w:hAnsi="標楷體"/>
          <w:b/>
          <w:color w:val="000000" w:themeColor="text1"/>
          <w:szCs w:val="24"/>
        </w:rPr>
        <w:t>二</w:t>
      </w:r>
      <w:r w:rsidRPr="00795CE6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CC0D9B">
        <w:rPr>
          <w:rFonts w:ascii="標楷體" w:eastAsia="標楷體" w:hAnsi="標楷體" w:hint="eastAsia"/>
          <w:b/>
          <w:color w:val="000000" w:themeColor="text1"/>
          <w:szCs w:val="24"/>
        </w:rPr>
        <w:t>策略與方法</w:t>
      </w:r>
    </w:p>
    <w:p w:rsidR="00302DC1" w:rsidRPr="00795CE6" w:rsidRDefault="008F5C8F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/>
          <w:szCs w:val="24"/>
        </w:rPr>
        <w:t>(</w:t>
      </w:r>
      <w:proofErr w:type="gramStart"/>
      <w:r w:rsidR="004649E3" w:rsidRPr="00795CE6">
        <w:rPr>
          <w:rFonts w:ascii="標楷體" w:eastAsia="標楷體" w:hAnsi="標楷體"/>
          <w:szCs w:val="24"/>
        </w:rPr>
        <w:t>一</w:t>
      </w:r>
      <w:proofErr w:type="gramEnd"/>
      <w:r w:rsidRPr="00795CE6">
        <w:rPr>
          <w:rFonts w:ascii="標楷體" w:eastAsia="標楷體" w:hAnsi="標楷體"/>
          <w:szCs w:val="24"/>
        </w:rPr>
        <w:t>)</w:t>
      </w:r>
      <w:r w:rsidR="004649E3" w:rsidRPr="00795CE6">
        <w:rPr>
          <w:rFonts w:ascii="標楷體" w:eastAsia="標楷體" w:hAnsi="標楷體"/>
          <w:szCs w:val="24"/>
        </w:rPr>
        <w:t>積極發掘失智以提供早期治療</w:t>
      </w:r>
    </w:p>
    <w:p w:rsidR="00CC0D9B" w:rsidRDefault="00302DC1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 w:hint="eastAsia"/>
          <w:szCs w:val="24"/>
        </w:rPr>
        <w:t xml:space="preserve">  </w:t>
      </w:r>
      <w:r w:rsidR="004649E3" w:rsidRPr="00795CE6">
        <w:rPr>
          <w:rFonts w:ascii="標楷體" w:eastAsia="標楷體" w:hAnsi="標楷體"/>
          <w:szCs w:val="24"/>
        </w:rPr>
        <w:t xml:space="preserve"> </w:t>
      </w:r>
      <w:r w:rsidR="00CC0D9B">
        <w:rPr>
          <w:rFonts w:ascii="標楷體" w:eastAsia="標楷體" w:hAnsi="標楷體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失智症者經醫師確診後，可向政府申請身心障礙手冊，</w:t>
      </w:r>
      <w:proofErr w:type="gramStart"/>
      <w:r w:rsidR="004649E3" w:rsidRPr="00795CE6">
        <w:rPr>
          <w:rFonts w:ascii="標楷體" w:eastAsia="標楷體" w:hAnsi="標楷體"/>
          <w:szCs w:val="24"/>
        </w:rPr>
        <w:t>惟失智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症容易誤</w:t>
      </w:r>
    </w:p>
    <w:p w:rsidR="00CC0D9B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認為老化症狀，許多輕度失智症者往往不知自己</w:t>
      </w:r>
      <w:proofErr w:type="gramStart"/>
      <w:r w:rsidR="004649E3" w:rsidRPr="00795CE6">
        <w:rPr>
          <w:rFonts w:ascii="標楷體" w:eastAsia="標楷體" w:hAnsi="標楷體"/>
          <w:szCs w:val="24"/>
        </w:rPr>
        <w:t>罹患失</w:t>
      </w:r>
      <w:proofErr w:type="gramEnd"/>
      <w:r w:rsidR="004649E3" w:rsidRPr="00795CE6">
        <w:rPr>
          <w:rFonts w:ascii="標楷體" w:eastAsia="標楷體" w:hAnsi="標楷體"/>
          <w:szCs w:val="24"/>
        </w:rPr>
        <w:t>智症，等到就醫發現</w:t>
      </w:r>
    </w:p>
    <w:p w:rsidR="00CC0D9B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時已是中</w:t>
      </w:r>
      <w:r w:rsidR="00B17B04">
        <w:rPr>
          <w:rFonts w:ascii="標楷體" w:eastAsia="標楷體" w:hAnsi="標楷體"/>
          <w:szCs w:val="24"/>
        </w:rPr>
        <w:t>、</w:t>
      </w:r>
      <w:proofErr w:type="gramStart"/>
      <w:r w:rsidR="004649E3" w:rsidRPr="00795CE6">
        <w:rPr>
          <w:rFonts w:ascii="標楷體" w:eastAsia="標楷體" w:hAnsi="標楷體"/>
          <w:szCs w:val="24"/>
        </w:rPr>
        <w:t>重度失智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症者，因而錯過早期治療的黃金時間。</w:t>
      </w:r>
      <w:proofErr w:type="gramStart"/>
      <w:r w:rsidR="004649E3" w:rsidRPr="00795CE6">
        <w:rPr>
          <w:rFonts w:ascii="標楷體" w:eastAsia="標楷體" w:hAnsi="標楷體"/>
          <w:szCs w:val="24"/>
        </w:rPr>
        <w:t>為使失智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症者能</w:t>
      </w:r>
    </w:p>
    <w:p w:rsidR="00CC0D9B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及時發現並提早治療，</w:t>
      </w:r>
      <w:r w:rsidR="008F5C8F" w:rsidRPr="00795CE6">
        <w:rPr>
          <w:rFonts w:ascii="標楷體" w:eastAsia="標楷體" w:hAnsi="標楷體"/>
          <w:szCs w:val="24"/>
        </w:rPr>
        <w:t>信義鄉衛生所</w:t>
      </w:r>
      <w:r w:rsidR="004649E3" w:rsidRPr="00795CE6">
        <w:rPr>
          <w:rFonts w:ascii="標楷體" w:eastAsia="標楷體" w:hAnsi="標楷體"/>
          <w:szCs w:val="24"/>
        </w:rPr>
        <w:t>近年大力於社區進行衛教宣導，並透過</w:t>
      </w:r>
    </w:p>
    <w:p w:rsidR="00CC0D9B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衛生所及基層診所進行失智症篩檢，針對篩檢高風險個案進行後續電話關</w:t>
      </w:r>
      <w:r w:rsidR="00785837" w:rsidRPr="00795CE6">
        <w:rPr>
          <w:rFonts w:ascii="標楷體" w:eastAsia="標楷體" w:hAnsi="標楷體"/>
          <w:szCs w:val="24"/>
        </w:rPr>
        <w:t>懷</w:t>
      </w:r>
    </w:p>
    <w:p w:rsidR="004649E3" w:rsidRPr="00795CE6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649E3" w:rsidRPr="00795CE6">
        <w:rPr>
          <w:rFonts w:ascii="標楷體" w:eastAsia="標楷體" w:hAnsi="標楷體"/>
          <w:szCs w:val="24"/>
        </w:rPr>
        <w:t>懷追蹤就醫。</w:t>
      </w:r>
    </w:p>
    <w:p w:rsidR="00302DC1" w:rsidRPr="00795CE6" w:rsidRDefault="00B53866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/>
          <w:szCs w:val="24"/>
        </w:rPr>
        <w:t>(</w:t>
      </w:r>
      <w:r w:rsidR="004649E3" w:rsidRPr="00795CE6">
        <w:rPr>
          <w:rFonts w:ascii="標楷體" w:eastAsia="標楷體" w:hAnsi="標楷體"/>
          <w:szCs w:val="24"/>
        </w:rPr>
        <w:t>二</w:t>
      </w:r>
      <w:r w:rsidRPr="00795CE6">
        <w:rPr>
          <w:rFonts w:ascii="標楷體" w:eastAsia="標楷體" w:hAnsi="標楷體"/>
          <w:szCs w:val="24"/>
        </w:rPr>
        <w:t>)</w:t>
      </w:r>
      <w:r w:rsidR="004649E3" w:rsidRPr="00795CE6">
        <w:rPr>
          <w:rFonts w:ascii="標楷體" w:eastAsia="標楷體" w:hAnsi="標楷體"/>
          <w:szCs w:val="24"/>
        </w:rPr>
        <w:t>積極</w:t>
      </w:r>
      <w:proofErr w:type="gramStart"/>
      <w:r w:rsidR="004649E3" w:rsidRPr="00795CE6">
        <w:rPr>
          <w:rFonts w:ascii="標楷體" w:eastAsia="標楷體" w:hAnsi="標楷體"/>
          <w:szCs w:val="24"/>
        </w:rPr>
        <w:t>布建失智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症友善照護資源，</w:t>
      </w:r>
    </w:p>
    <w:p w:rsidR="000250FD" w:rsidRDefault="00302DC1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 w:hint="eastAsia"/>
          <w:szCs w:val="24"/>
        </w:rPr>
        <w:t xml:space="preserve">   </w:t>
      </w:r>
      <w:r w:rsidR="000250FD"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失智社區服務</w:t>
      </w:r>
      <w:proofErr w:type="gramStart"/>
      <w:r w:rsidR="004649E3" w:rsidRPr="00795CE6">
        <w:rPr>
          <w:rFonts w:ascii="標楷體" w:eastAsia="標楷體" w:hAnsi="標楷體"/>
          <w:szCs w:val="24"/>
        </w:rPr>
        <w:t>據點依失智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症流行病學研究結果，全國九成以上的失智症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者居住於家中，失智程度以</w:t>
      </w:r>
      <w:proofErr w:type="gramStart"/>
      <w:r w:rsidR="004649E3" w:rsidRPr="00795CE6">
        <w:rPr>
          <w:rFonts w:ascii="標楷體" w:eastAsia="標楷體" w:hAnsi="標楷體"/>
          <w:szCs w:val="24"/>
        </w:rPr>
        <w:t>極</w:t>
      </w:r>
      <w:proofErr w:type="gramEnd"/>
      <w:r w:rsidR="004649E3" w:rsidRPr="00795CE6">
        <w:rPr>
          <w:rFonts w:ascii="標楷體" w:eastAsia="標楷體" w:hAnsi="標楷體"/>
          <w:szCs w:val="24"/>
        </w:rPr>
        <w:t>輕度及輕度占七成四為多數，失智症照顧是整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合性工作，須依病程的發展及考量失智者和家庭照顧者的需求與資源，提供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早期介入服務，</w:t>
      </w:r>
      <w:proofErr w:type="gramStart"/>
      <w:r w:rsidR="004649E3" w:rsidRPr="00795CE6">
        <w:rPr>
          <w:rFonts w:ascii="標楷體" w:eastAsia="標楷體" w:hAnsi="標楷體"/>
          <w:szCs w:val="24"/>
        </w:rPr>
        <w:t>使失智者儘</w:t>
      </w:r>
      <w:proofErr w:type="gramEnd"/>
      <w:r w:rsidR="004649E3" w:rsidRPr="00795CE6">
        <w:rPr>
          <w:rFonts w:ascii="標楷體" w:eastAsia="標楷體" w:hAnsi="標楷體"/>
          <w:szCs w:val="24"/>
        </w:rPr>
        <w:t>可能 留在熟悉的家裡或社區中生活，以延緩失智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病程的進展，並提升其生活品質及降低照顧成本。因此，</w:t>
      </w:r>
      <w:proofErr w:type="gramStart"/>
      <w:r w:rsidR="004649E3" w:rsidRPr="00795CE6">
        <w:rPr>
          <w:rFonts w:ascii="標楷體" w:eastAsia="標楷體" w:hAnsi="標楷體"/>
          <w:szCs w:val="24"/>
        </w:rPr>
        <w:t>如何讓失智</w:t>
      </w:r>
      <w:proofErr w:type="gramEnd"/>
      <w:r w:rsidR="004649E3" w:rsidRPr="00795CE6">
        <w:rPr>
          <w:rFonts w:ascii="標楷體" w:eastAsia="標楷體" w:hAnsi="標楷體"/>
          <w:szCs w:val="24"/>
        </w:rPr>
        <w:t>症者能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安心在原來生活的社區中獲得有尊嚴、能自主的醫療及生活照顧，同時家庭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照顧者能獲得照顧訓練及支持服務，讓家屬能安心上班或照顧家庭是非常重</w:t>
      </w:r>
    </w:p>
    <w:p w:rsidR="000250FD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649E3" w:rsidRPr="00795CE6">
        <w:rPr>
          <w:rFonts w:ascii="標楷體" w:eastAsia="標楷體" w:hAnsi="標楷體"/>
          <w:szCs w:val="24"/>
        </w:rPr>
        <w:t>要的課題。為促進失智者照護服務可近性，減輕失智者家庭照顧負擔，使每</w:t>
      </w:r>
    </w:p>
    <w:p w:rsidR="00302DC1" w:rsidRPr="00795CE6" w:rsidRDefault="000250FD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="004649E3" w:rsidRPr="00795CE6">
        <w:rPr>
          <w:rFonts w:ascii="標楷體" w:eastAsia="標楷體" w:hAnsi="標楷體"/>
          <w:szCs w:val="24"/>
        </w:rPr>
        <w:t>個</w:t>
      </w:r>
      <w:proofErr w:type="gramEnd"/>
      <w:r w:rsidR="004649E3" w:rsidRPr="00795CE6">
        <w:rPr>
          <w:rFonts w:ascii="標楷體" w:eastAsia="標楷體" w:hAnsi="標楷體"/>
          <w:szCs w:val="24"/>
        </w:rPr>
        <w:t>失智者及家庭都能就近找得到資源並使用服務，以獲得</w:t>
      </w:r>
      <w:proofErr w:type="gramStart"/>
      <w:r w:rsidR="004649E3" w:rsidRPr="00795CE6">
        <w:rPr>
          <w:rFonts w:ascii="標楷體" w:eastAsia="標楷體" w:hAnsi="標楷體"/>
          <w:szCs w:val="24"/>
        </w:rPr>
        <w:t>適切及妥善</w:t>
      </w:r>
      <w:proofErr w:type="gramEnd"/>
      <w:r w:rsidR="004649E3" w:rsidRPr="00795CE6">
        <w:rPr>
          <w:rFonts w:ascii="標楷體" w:eastAsia="標楷體" w:hAnsi="標楷體"/>
          <w:szCs w:val="24"/>
        </w:rPr>
        <w:t>照護</w:t>
      </w:r>
      <w:r w:rsidR="00302DC1" w:rsidRPr="00795CE6">
        <w:rPr>
          <w:rFonts w:ascii="標楷體" w:eastAsia="標楷體" w:hAnsi="標楷體" w:hint="eastAsia"/>
          <w:szCs w:val="24"/>
        </w:rPr>
        <w:t>。</w:t>
      </w:r>
    </w:p>
    <w:p w:rsidR="005E73DB" w:rsidRDefault="005E73DB" w:rsidP="00795CE6">
      <w:pPr>
        <w:rPr>
          <w:rFonts w:ascii="標楷體" w:eastAsia="標楷體" w:hAnsi="標楷體"/>
          <w:szCs w:val="24"/>
        </w:rPr>
      </w:pPr>
    </w:p>
    <w:p w:rsidR="005E73DB" w:rsidRDefault="005E73DB" w:rsidP="00795CE6">
      <w:pPr>
        <w:rPr>
          <w:rFonts w:ascii="標楷體" w:eastAsia="標楷體" w:hAnsi="標楷體"/>
          <w:szCs w:val="24"/>
        </w:rPr>
      </w:pPr>
    </w:p>
    <w:p w:rsidR="00B53866" w:rsidRPr="00795CE6" w:rsidRDefault="00B53866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/>
          <w:szCs w:val="24"/>
        </w:rPr>
        <w:lastRenderedPageBreak/>
        <w:t>(三)</w:t>
      </w:r>
      <w:r w:rsidR="003F157D" w:rsidRPr="00795CE6">
        <w:rPr>
          <w:rFonts w:ascii="標楷體" w:eastAsia="標楷體" w:hAnsi="標楷體"/>
          <w:szCs w:val="24"/>
        </w:rPr>
        <w:t>擴大失智症者照護，有效滿足失智症者照顧服務需求</w:t>
      </w:r>
    </w:p>
    <w:p w:rsidR="00CC0D9B" w:rsidRDefault="003F157D" w:rsidP="00795CE6">
      <w:pPr>
        <w:rPr>
          <w:rFonts w:ascii="標楷體" w:eastAsia="標楷體" w:hAnsi="標楷體"/>
          <w:szCs w:val="24"/>
        </w:rPr>
      </w:pPr>
      <w:r w:rsidRPr="00795CE6">
        <w:rPr>
          <w:rFonts w:ascii="標楷體" w:eastAsia="標楷體" w:hAnsi="標楷體"/>
          <w:szCs w:val="24"/>
        </w:rPr>
        <w:t xml:space="preserve"> </w:t>
      </w:r>
      <w:r w:rsidR="000250FD">
        <w:rPr>
          <w:rFonts w:ascii="標楷體" w:eastAsia="標楷體" w:hAnsi="標楷體"/>
          <w:szCs w:val="24"/>
        </w:rPr>
        <w:t xml:space="preserve">  </w:t>
      </w:r>
      <w:r w:rsidR="00CC0D9B">
        <w:rPr>
          <w:rFonts w:ascii="標楷體" w:eastAsia="標楷體" w:hAnsi="標楷體"/>
          <w:szCs w:val="24"/>
        </w:rPr>
        <w:t xml:space="preserve">  </w:t>
      </w:r>
      <w:r w:rsidRPr="00795CE6">
        <w:rPr>
          <w:rFonts w:ascii="標楷體" w:eastAsia="標楷體" w:hAnsi="標楷體"/>
          <w:szCs w:val="24"/>
        </w:rPr>
        <w:t>為擴大照顧失智症者並減輕家庭照顧者的負擔，</w:t>
      </w:r>
      <w:r w:rsidR="00B53866" w:rsidRPr="00795CE6">
        <w:rPr>
          <w:rFonts w:ascii="標楷體" w:eastAsia="標楷體" w:hAnsi="標楷體"/>
          <w:szCs w:val="24"/>
        </w:rPr>
        <w:t>積極</w:t>
      </w:r>
      <w:r w:rsidRPr="00795CE6">
        <w:rPr>
          <w:rFonts w:ascii="標楷體" w:eastAsia="標楷體" w:hAnsi="標楷體"/>
          <w:szCs w:val="24"/>
        </w:rPr>
        <w:t>推動長照 2.0 計</w:t>
      </w:r>
      <w:r w:rsidR="00412A0A" w:rsidRPr="00795CE6">
        <w:rPr>
          <w:rFonts w:ascii="標楷體" w:eastAsia="標楷體" w:hAnsi="標楷體"/>
          <w:szCs w:val="24"/>
        </w:rPr>
        <w:t>畫</w:t>
      </w:r>
      <w:r w:rsidR="00CC0D9B">
        <w:rPr>
          <w:rFonts w:ascii="標楷體" w:eastAsia="標楷體" w:hAnsi="標楷體"/>
          <w:szCs w:val="24"/>
        </w:rPr>
        <w:t xml:space="preserve"> </w:t>
      </w:r>
    </w:p>
    <w:p w:rsidR="00CC0D9B" w:rsidRDefault="00CC0D9B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F157D" w:rsidRPr="00795CE6">
        <w:rPr>
          <w:rFonts w:ascii="標楷體" w:eastAsia="標楷體" w:hAnsi="標楷體"/>
          <w:szCs w:val="24"/>
        </w:rPr>
        <w:t>，將50歲以上失智症者納入服務對象，只要有領取身心障礙手冊者均可</w:t>
      </w:r>
      <w:r w:rsidR="00412A0A" w:rsidRPr="00795CE6">
        <w:rPr>
          <w:rFonts w:ascii="標楷體" w:eastAsia="標楷體" w:hAnsi="標楷體"/>
          <w:szCs w:val="24"/>
        </w:rPr>
        <w:t>申</w:t>
      </w:r>
    </w:p>
    <w:p w:rsidR="003F157D" w:rsidRPr="00795CE6" w:rsidRDefault="00CC0D9B" w:rsidP="005E73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F157D" w:rsidRPr="00795CE6">
        <w:rPr>
          <w:rFonts w:ascii="標楷體" w:eastAsia="標楷體" w:hAnsi="標楷體"/>
          <w:szCs w:val="24"/>
        </w:rPr>
        <w:t>請政府的補助與服務</w:t>
      </w:r>
      <w:r w:rsidR="00893F9F">
        <w:rPr>
          <w:rFonts w:ascii="標楷體" w:eastAsia="標楷體" w:hAnsi="標楷體"/>
          <w:szCs w:val="24"/>
        </w:rPr>
        <w:t>。</w:t>
      </w:r>
    </w:p>
    <w:p w:rsidR="00CC0D9B" w:rsidRPr="00C12B8D" w:rsidRDefault="00CC0D9B" w:rsidP="00CC0D9B">
      <w:pPr>
        <w:rPr>
          <w:rFonts w:ascii="標楷體" w:eastAsia="標楷體" w:hAnsi="標楷體"/>
          <w:szCs w:val="24"/>
        </w:rPr>
      </w:pPr>
      <w:r w:rsidRPr="00C12B8D">
        <w:rPr>
          <w:rFonts w:ascii="標楷體" w:eastAsia="標楷體" w:hAnsi="標楷體"/>
          <w:szCs w:val="24"/>
        </w:rPr>
        <w:t>(四)打造信義鄉成為失智友善城市</w:t>
      </w:r>
    </w:p>
    <w:p w:rsidR="00CC0D9B" w:rsidRDefault="00CC0D9B" w:rsidP="00C12B8D">
      <w:pPr>
        <w:ind w:leftChars="177" w:left="425"/>
        <w:rPr>
          <w:rFonts w:ascii="標楷體" w:eastAsia="標楷體" w:hAnsi="標楷體" w:hint="eastAsia"/>
          <w:szCs w:val="24"/>
        </w:rPr>
      </w:pPr>
      <w:r w:rsidRPr="00795CE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795CE6">
        <w:rPr>
          <w:rFonts w:ascii="標楷體" w:eastAsia="標楷體" w:hAnsi="標楷體"/>
          <w:szCs w:val="24"/>
        </w:rPr>
        <w:t>面對高齡化社會所伴隨失智人口</w:t>
      </w:r>
      <w:proofErr w:type="gramStart"/>
      <w:r w:rsidRPr="00795CE6">
        <w:rPr>
          <w:rFonts w:ascii="標楷體" w:eastAsia="標楷體" w:hAnsi="標楷體"/>
          <w:szCs w:val="24"/>
        </w:rPr>
        <w:t>遽</w:t>
      </w:r>
      <w:proofErr w:type="gramEnd"/>
      <w:r w:rsidRPr="00795CE6">
        <w:rPr>
          <w:rFonts w:ascii="標楷體" w:eastAsia="標楷體" w:hAnsi="標楷體"/>
          <w:szCs w:val="24"/>
        </w:rPr>
        <w:t>增狀況，提供失智症患者及家庭照顧者最完善的失</w:t>
      </w:r>
      <w:proofErr w:type="gramStart"/>
      <w:r w:rsidRPr="00795CE6">
        <w:rPr>
          <w:rFonts w:ascii="標楷體" w:eastAsia="標楷體" w:hAnsi="標楷體"/>
          <w:szCs w:val="24"/>
        </w:rPr>
        <w:t>智症照護</w:t>
      </w:r>
      <w:proofErr w:type="gramEnd"/>
      <w:r w:rsidRPr="00795CE6">
        <w:rPr>
          <w:rFonts w:ascii="標楷體" w:eastAsia="標楷體" w:hAnsi="標楷體"/>
          <w:szCs w:val="24"/>
        </w:rPr>
        <w:t>服務是政府責無旁貸的責任，</w:t>
      </w:r>
      <w:r>
        <w:rPr>
          <w:rFonts w:ascii="標楷體" w:eastAsia="標楷體" w:hAnsi="標楷體"/>
          <w:szCs w:val="24"/>
        </w:rPr>
        <w:t>本所</w:t>
      </w:r>
      <w:r w:rsidRPr="00795CE6">
        <w:rPr>
          <w:rFonts w:ascii="標楷體" w:eastAsia="標楷體" w:hAnsi="標楷體"/>
          <w:szCs w:val="24"/>
        </w:rPr>
        <w:t>於訂定「失智症者防治照護行動方案」，推動失智症者防治照護六大策略，設置「失智社區服務</w:t>
      </w:r>
      <w:r>
        <w:rPr>
          <w:rFonts w:ascii="標楷體" w:eastAsia="標楷體" w:hAnsi="標楷體"/>
          <w:szCs w:val="24"/>
        </w:rPr>
        <w:t>據點</w:t>
      </w:r>
      <w:r w:rsidRPr="00795CE6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/>
          <w:szCs w:val="24"/>
        </w:rPr>
        <w:t>與</w:t>
      </w:r>
      <w:r w:rsidRPr="00795CE6">
        <w:rPr>
          <w:rFonts w:ascii="標楷體" w:eastAsia="標楷體" w:hAnsi="標楷體"/>
          <w:szCs w:val="24"/>
        </w:rPr>
        <w:t>「失智友善守護站」，發掘社區中的潛在失智者並協助轉診就醫，形成一個廣大緊密合作、公私協力的失</w:t>
      </w:r>
      <w:proofErr w:type="gramStart"/>
      <w:r w:rsidRPr="00795CE6">
        <w:rPr>
          <w:rFonts w:ascii="標楷體" w:eastAsia="標楷體" w:hAnsi="標楷體"/>
          <w:szCs w:val="24"/>
        </w:rPr>
        <w:t>智共照</w:t>
      </w:r>
      <w:proofErr w:type="gramEnd"/>
      <w:r w:rsidRPr="00795CE6">
        <w:rPr>
          <w:rFonts w:ascii="標楷體" w:eastAsia="標楷體" w:hAnsi="標楷體"/>
          <w:szCs w:val="24"/>
        </w:rPr>
        <w:t>網絡，提供失智症者及其家庭照顧者最</w:t>
      </w:r>
      <w:proofErr w:type="gramStart"/>
      <w:r w:rsidRPr="00795CE6">
        <w:rPr>
          <w:rFonts w:ascii="標楷體" w:eastAsia="標楷體" w:hAnsi="標楷體"/>
          <w:szCs w:val="24"/>
        </w:rPr>
        <w:t>完善妥</w:t>
      </w:r>
      <w:proofErr w:type="gramEnd"/>
      <w:r w:rsidRPr="00795CE6">
        <w:rPr>
          <w:rFonts w:ascii="標楷體" w:eastAsia="標楷體" w:hAnsi="標楷體"/>
          <w:szCs w:val="24"/>
        </w:rPr>
        <w:t>適之服務。另為提升民眾對失智症的正確認知，</w:t>
      </w:r>
      <w:r>
        <w:rPr>
          <w:rFonts w:ascii="標楷體" w:eastAsia="標楷體" w:hAnsi="標楷體"/>
          <w:szCs w:val="24"/>
        </w:rPr>
        <w:t>本所</w:t>
      </w:r>
      <w:r w:rsidRPr="00795CE6">
        <w:rPr>
          <w:rFonts w:ascii="標楷體" w:eastAsia="標楷體" w:hAnsi="標楷體"/>
          <w:szCs w:val="24"/>
        </w:rPr>
        <w:t>於 1</w:t>
      </w:r>
      <w:r>
        <w:rPr>
          <w:rFonts w:ascii="標楷體" w:eastAsia="標楷體" w:hAnsi="標楷體"/>
          <w:szCs w:val="24"/>
        </w:rPr>
        <w:t>13</w:t>
      </w:r>
      <w:r w:rsidRPr="00795CE6">
        <w:rPr>
          <w:rFonts w:ascii="標楷體" w:eastAsia="標楷體" w:hAnsi="標楷體"/>
          <w:szCs w:val="24"/>
        </w:rPr>
        <w:t xml:space="preserve"> 年號召</w:t>
      </w:r>
      <w:r>
        <w:rPr>
          <w:rFonts w:ascii="標楷體" w:eastAsia="標楷體" w:hAnsi="標楷體"/>
          <w:szCs w:val="24"/>
        </w:rPr>
        <w:t>本所</w:t>
      </w:r>
      <w:r w:rsidRPr="00795CE6">
        <w:rPr>
          <w:rFonts w:ascii="標楷體" w:eastAsia="標楷體" w:hAnsi="標楷體"/>
          <w:szCs w:val="24"/>
        </w:rPr>
        <w:t>員工、志工、企業與民間社團受訓成為失智守護天使，對社區的失智症者及其家屬提供協助，</w:t>
      </w:r>
      <w:r w:rsidRPr="00E11999">
        <w:rPr>
          <w:rFonts w:ascii="標楷體" w:eastAsia="標楷體" w:hAnsi="標楷體"/>
          <w:szCs w:val="24"/>
        </w:rPr>
        <w:t>打造信義鄉成為</w:t>
      </w:r>
      <w:r w:rsidRPr="00795CE6">
        <w:rPr>
          <w:rFonts w:ascii="標楷體" w:eastAsia="標楷體" w:hAnsi="標楷體"/>
          <w:szCs w:val="24"/>
        </w:rPr>
        <w:t>失智友善城市。</w:t>
      </w:r>
    </w:p>
    <w:p w:rsidR="00CC6523" w:rsidRDefault="00CC6523" w:rsidP="00C12B8D">
      <w:pPr>
        <w:ind w:leftChars="177" w:left="425"/>
        <w:rPr>
          <w:rFonts w:ascii="標楷體" w:eastAsia="標楷體" w:hAnsi="標楷體" w:hint="eastAsia"/>
          <w:szCs w:val="24"/>
        </w:rPr>
      </w:pPr>
    </w:p>
    <w:p w:rsidR="00CC6523" w:rsidRDefault="00CC6523" w:rsidP="00C12B8D">
      <w:pPr>
        <w:ind w:leftChars="177" w:left="425"/>
        <w:rPr>
          <w:rFonts w:ascii="標楷體" w:eastAsia="標楷體" w:hAnsi="標楷體" w:hint="eastAsia"/>
          <w:szCs w:val="24"/>
        </w:rPr>
      </w:pPr>
    </w:p>
    <w:p w:rsidR="00CC6523" w:rsidRPr="00795CE6" w:rsidRDefault="00CC6523" w:rsidP="00C12B8D">
      <w:pPr>
        <w:ind w:leftChars="177" w:left="425"/>
        <w:rPr>
          <w:rFonts w:ascii="標楷體" w:eastAsia="標楷體" w:hAnsi="標楷體"/>
          <w:szCs w:val="24"/>
        </w:rPr>
      </w:pPr>
    </w:p>
    <w:p w:rsidR="008D129B" w:rsidRDefault="005E73DB" w:rsidP="00795CE6">
      <w:pPr>
        <w:rPr>
          <w:rFonts w:ascii="標楷體" w:eastAsia="標楷體" w:hAnsi="標楷體"/>
          <w:b/>
          <w:szCs w:val="24"/>
        </w:rPr>
      </w:pPr>
      <w:r w:rsidRPr="005E73DB">
        <w:rPr>
          <w:rFonts w:ascii="標楷體" w:eastAsia="標楷體" w:hAnsi="標楷體"/>
          <w:b/>
          <w:szCs w:val="24"/>
        </w:rPr>
        <w:t>三、</w:t>
      </w:r>
      <w:r w:rsidR="008D129B">
        <w:rPr>
          <w:rFonts w:ascii="標楷體" w:eastAsia="標楷體" w:hAnsi="標楷體"/>
          <w:b/>
          <w:szCs w:val="24"/>
        </w:rPr>
        <w:t>經費</w:t>
      </w:r>
    </w:p>
    <w:tbl>
      <w:tblPr>
        <w:tblpPr w:leftFromText="180" w:rightFromText="180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0"/>
        <w:gridCol w:w="2020"/>
        <w:gridCol w:w="1373"/>
      </w:tblGrid>
      <w:tr w:rsidR="007236EC" w:rsidRPr="002A3CE4" w:rsidTr="007236EC">
        <w:trPr>
          <w:trHeight w:val="420"/>
        </w:trPr>
        <w:tc>
          <w:tcPr>
            <w:tcW w:w="1430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2020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項目別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7236EC" w:rsidRPr="002A3CE4" w:rsidTr="007236EC">
        <w:trPr>
          <w:trHeight w:val="370"/>
        </w:trPr>
        <w:tc>
          <w:tcPr>
            <w:tcW w:w="1430" w:type="dxa"/>
            <w:vMerge w:val="restart"/>
            <w:vAlign w:val="center"/>
          </w:tcPr>
          <w:p w:rsidR="007236EC" w:rsidRPr="002A3CE4" w:rsidRDefault="007236EC" w:rsidP="007236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業務費</w:t>
            </w: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臨時人員酬金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25,000</w:t>
            </w:r>
          </w:p>
        </w:tc>
      </w:tr>
      <w:tr w:rsidR="007236EC" w:rsidRPr="002A3CE4" w:rsidTr="007236EC">
        <w:trPr>
          <w:trHeight w:val="330"/>
        </w:trPr>
        <w:tc>
          <w:tcPr>
            <w:tcW w:w="1430" w:type="dxa"/>
            <w:vMerge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講座鐘點費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</w:tr>
      <w:tr w:rsidR="007236EC" w:rsidRPr="002A3CE4" w:rsidTr="007236EC">
        <w:trPr>
          <w:trHeight w:val="390"/>
        </w:trPr>
        <w:tc>
          <w:tcPr>
            <w:tcW w:w="1430" w:type="dxa"/>
            <w:vMerge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旅運費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</w:tr>
      <w:tr w:rsidR="007236EC" w:rsidRPr="002A3CE4" w:rsidTr="007236EC">
        <w:trPr>
          <w:trHeight w:val="390"/>
        </w:trPr>
        <w:tc>
          <w:tcPr>
            <w:tcW w:w="1430" w:type="dxa"/>
            <w:vMerge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2,515</w:t>
            </w:r>
          </w:p>
        </w:tc>
      </w:tr>
      <w:tr w:rsidR="007236EC" w:rsidRPr="002A3CE4" w:rsidTr="007236EC">
        <w:trPr>
          <w:trHeight w:val="390"/>
        </w:trPr>
        <w:tc>
          <w:tcPr>
            <w:tcW w:w="1430" w:type="dxa"/>
            <w:vMerge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通訊費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3,200</w:t>
            </w:r>
          </w:p>
        </w:tc>
      </w:tr>
      <w:tr w:rsidR="007236EC" w:rsidRPr="002A3CE4" w:rsidTr="007236EC">
        <w:trPr>
          <w:trHeight w:val="390"/>
        </w:trPr>
        <w:tc>
          <w:tcPr>
            <w:tcW w:w="1430" w:type="dxa"/>
            <w:vMerge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一般事務費</w:t>
            </w: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7,785</w:t>
            </w:r>
          </w:p>
        </w:tc>
      </w:tr>
      <w:tr w:rsidR="007236EC" w:rsidRPr="002A3CE4" w:rsidTr="007236EC">
        <w:trPr>
          <w:trHeight w:val="390"/>
        </w:trPr>
        <w:tc>
          <w:tcPr>
            <w:tcW w:w="143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020" w:type="dxa"/>
          </w:tcPr>
          <w:p w:rsidR="007236EC" w:rsidRPr="002A3CE4" w:rsidRDefault="007236EC" w:rsidP="00723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3" w:type="dxa"/>
          </w:tcPr>
          <w:p w:rsidR="007236EC" w:rsidRPr="002A3CE4" w:rsidRDefault="007236EC" w:rsidP="00723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4">
              <w:rPr>
                <w:rFonts w:ascii="標楷體" w:eastAsia="標楷體" w:hAnsi="標楷體" w:hint="eastAsia"/>
                <w:szCs w:val="24"/>
              </w:rPr>
              <w:t>44,500</w:t>
            </w:r>
          </w:p>
        </w:tc>
      </w:tr>
    </w:tbl>
    <w:p w:rsidR="008D129B" w:rsidRDefault="008D129B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7236EC" w:rsidRDefault="007236EC" w:rsidP="00795CE6">
      <w:pPr>
        <w:rPr>
          <w:rFonts w:ascii="標楷體" w:eastAsia="標楷體" w:hAnsi="標楷體"/>
          <w:b/>
          <w:szCs w:val="24"/>
        </w:rPr>
      </w:pPr>
    </w:p>
    <w:p w:rsidR="008D129B" w:rsidRDefault="008D129B" w:rsidP="00795CE6">
      <w:pPr>
        <w:rPr>
          <w:rFonts w:ascii="標楷體" w:eastAsia="標楷體" w:hAnsi="標楷體"/>
          <w:b/>
          <w:szCs w:val="24"/>
        </w:rPr>
      </w:pPr>
    </w:p>
    <w:p w:rsidR="008D129B" w:rsidRDefault="008D129B" w:rsidP="00795CE6">
      <w:pPr>
        <w:rPr>
          <w:rFonts w:ascii="標楷體" w:eastAsia="標楷體" w:hAnsi="標楷體" w:hint="eastAsia"/>
          <w:b/>
          <w:szCs w:val="24"/>
        </w:rPr>
      </w:pPr>
    </w:p>
    <w:p w:rsidR="00CC6523" w:rsidRDefault="00CC6523" w:rsidP="00795CE6">
      <w:pPr>
        <w:rPr>
          <w:rFonts w:ascii="標楷體" w:eastAsia="標楷體" w:hAnsi="標楷體" w:hint="eastAsia"/>
          <w:b/>
          <w:szCs w:val="24"/>
        </w:rPr>
      </w:pPr>
    </w:p>
    <w:p w:rsidR="00CC6523" w:rsidRDefault="00CC6523" w:rsidP="00795CE6">
      <w:pPr>
        <w:rPr>
          <w:rFonts w:ascii="標楷體" w:eastAsia="標楷體" w:hAnsi="標楷體" w:hint="eastAsia"/>
          <w:b/>
          <w:szCs w:val="24"/>
        </w:rPr>
      </w:pPr>
    </w:p>
    <w:p w:rsidR="00CC6523" w:rsidRDefault="00CC6523" w:rsidP="00795CE6">
      <w:pPr>
        <w:rPr>
          <w:rFonts w:ascii="標楷體" w:eastAsia="標楷體" w:hAnsi="標楷體" w:hint="eastAsia"/>
          <w:b/>
          <w:szCs w:val="24"/>
        </w:rPr>
      </w:pPr>
    </w:p>
    <w:p w:rsidR="00CC6523" w:rsidRDefault="00CC6523" w:rsidP="00795CE6">
      <w:pPr>
        <w:rPr>
          <w:rFonts w:ascii="標楷體" w:eastAsia="標楷體" w:hAnsi="標楷體" w:hint="eastAsia"/>
          <w:b/>
          <w:szCs w:val="24"/>
        </w:rPr>
      </w:pPr>
    </w:p>
    <w:p w:rsidR="00CC6523" w:rsidRDefault="00CC6523" w:rsidP="00795CE6">
      <w:pPr>
        <w:rPr>
          <w:rFonts w:ascii="標楷體" w:eastAsia="標楷體" w:hAnsi="標楷體"/>
          <w:b/>
          <w:szCs w:val="24"/>
        </w:rPr>
      </w:pPr>
    </w:p>
    <w:p w:rsidR="00BB5A75" w:rsidRPr="005E73DB" w:rsidRDefault="00E1656E" w:rsidP="00795CE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四</w:t>
      </w:r>
      <w:r w:rsidR="00AA1A7A">
        <w:rPr>
          <w:rFonts w:ascii="標楷體" w:eastAsia="標楷體" w:hAnsi="標楷體"/>
          <w:b/>
          <w:szCs w:val="24"/>
        </w:rPr>
        <w:t>、</w:t>
      </w:r>
      <w:r w:rsidR="005E73DB" w:rsidRPr="005E73DB">
        <w:rPr>
          <w:rFonts w:ascii="標楷體" w:eastAsia="標楷體" w:hAnsi="標楷體"/>
          <w:b/>
          <w:szCs w:val="24"/>
        </w:rPr>
        <w:t>服務成果</w:t>
      </w:r>
    </w:p>
    <w:p w:rsidR="005E73DB" w:rsidRDefault="005E73DB" w:rsidP="005E73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795CE6">
        <w:rPr>
          <w:rFonts w:ascii="標楷體" w:eastAsia="標楷體" w:hAnsi="標楷體" w:hint="eastAsia"/>
          <w:szCs w:val="24"/>
        </w:rPr>
        <w:t>信義鄉</w:t>
      </w:r>
      <w:r w:rsidRPr="00795CE6">
        <w:rPr>
          <w:rFonts w:ascii="標楷體" w:eastAsia="標楷體" w:hAnsi="標楷體"/>
          <w:szCs w:val="24"/>
        </w:rPr>
        <w:t>於112年6月起結合竹山秀傳</w:t>
      </w:r>
      <w:proofErr w:type="gramStart"/>
      <w:r w:rsidRPr="00795CE6">
        <w:rPr>
          <w:rFonts w:ascii="標楷體" w:eastAsia="標楷體" w:hAnsi="標楷體"/>
          <w:szCs w:val="24"/>
        </w:rPr>
        <w:t>醫院設失智</w:t>
      </w:r>
      <w:proofErr w:type="gramEnd"/>
      <w:r w:rsidRPr="00795CE6">
        <w:rPr>
          <w:rFonts w:ascii="標楷體" w:eastAsia="標楷體" w:hAnsi="標楷體"/>
          <w:szCs w:val="24"/>
        </w:rPr>
        <w:t>社區服務據點以提升失</w:t>
      </w:r>
      <w:r>
        <w:rPr>
          <w:rFonts w:ascii="標楷體" w:eastAsia="標楷體" w:hAnsi="標楷體"/>
          <w:szCs w:val="24"/>
        </w:rPr>
        <w:t xml:space="preserve"> </w:t>
      </w:r>
    </w:p>
    <w:p w:rsidR="005E73DB" w:rsidRDefault="005E73DB" w:rsidP="005E73DB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795CE6">
        <w:rPr>
          <w:rFonts w:ascii="標楷體" w:eastAsia="標楷體" w:hAnsi="標楷體"/>
          <w:szCs w:val="24"/>
        </w:rPr>
        <w:t>智社區服務資源量能，提供失智者及照顧者多元複合支持服務，如認知促</w:t>
      </w:r>
      <w:r>
        <w:rPr>
          <w:rFonts w:ascii="標楷體" w:eastAsia="標楷體" w:hAnsi="標楷體"/>
          <w:szCs w:val="24"/>
        </w:rPr>
        <w:t xml:space="preserve"> </w:t>
      </w:r>
    </w:p>
    <w:p w:rsidR="005E73DB" w:rsidRDefault="005E73DB" w:rsidP="005E73DB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95CE6">
        <w:rPr>
          <w:rFonts w:ascii="標楷體" w:eastAsia="標楷體" w:hAnsi="標楷體"/>
          <w:szCs w:val="24"/>
        </w:rPr>
        <w:t>進、緩和失智、安全看視、家屬照顧訓練、家屬支持團體等服務，並結合</w:t>
      </w:r>
      <w:r>
        <w:rPr>
          <w:rFonts w:ascii="標楷體" w:eastAsia="標楷體" w:hAnsi="標楷體"/>
          <w:szCs w:val="24"/>
        </w:rPr>
        <w:t xml:space="preserve"> </w:t>
      </w:r>
    </w:p>
    <w:p w:rsidR="005E73DB" w:rsidRDefault="005E73DB" w:rsidP="005E73DB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95CE6">
        <w:rPr>
          <w:rFonts w:ascii="標楷體" w:eastAsia="標楷體" w:hAnsi="標楷體"/>
          <w:szCs w:val="24"/>
        </w:rPr>
        <w:t>醫療院所成立失智共同照護中心，以協助</w:t>
      </w:r>
      <w:proofErr w:type="gramStart"/>
      <w:r w:rsidRPr="00795CE6">
        <w:rPr>
          <w:rFonts w:ascii="標楷體" w:eastAsia="標楷體" w:hAnsi="標楷體"/>
          <w:szCs w:val="24"/>
        </w:rPr>
        <w:t>失智確診</w:t>
      </w:r>
      <w:proofErr w:type="gramEnd"/>
      <w:r w:rsidRPr="00795CE6">
        <w:rPr>
          <w:rFonts w:ascii="標楷體" w:eastAsia="標楷體" w:hAnsi="標楷體"/>
          <w:szCs w:val="24"/>
        </w:rPr>
        <w:t>、個案管理及轉</w:t>
      </w:r>
      <w:proofErr w:type="gramStart"/>
      <w:r w:rsidRPr="00795CE6">
        <w:rPr>
          <w:rFonts w:ascii="標楷體" w:eastAsia="標楷體" w:hAnsi="標楷體"/>
          <w:szCs w:val="24"/>
        </w:rPr>
        <w:t>介</w:t>
      </w:r>
      <w:proofErr w:type="gramEnd"/>
      <w:r w:rsidRPr="00795CE6">
        <w:rPr>
          <w:rFonts w:ascii="標楷體" w:eastAsia="標楷體" w:hAnsi="標楷體"/>
          <w:szCs w:val="24"/>
        </w:rPr>
        <w:t>服</w:t>
      </w:r>
      <w:r>
        <w:rPr>
          <w:rFonts w:ascii="標楷體" w:eastAsia="標楷體" w:hAnsi="標楷體"/>
          <w:szCs w:val="24"/>
        </w:rPr>
        <w:t xml:space="preserve"> </w:t>
      </w:r>
    </w:p>
    <w:p w:rsidR="005E73DB" w:rsidRPr="00795CE6" w:rsidRDefault="005E73DB" w:rsidP="005E73DB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proofErr w:type="gramStart"/>
      <w:r w:rsidRPr="00795CE6">
        <w:rPr>
          <w:rFonts w:ascii="標楷體" w:eastAsia="標楷體" w:hAnsi="標楷體"/>
          <w:szCs w:val="24"/>
        </w:rPr>
        <w:t>務</w:t>
      </w:r>
      <w:proofErr w:type="gramEnd"/>
      <w:r w:rsidRPr="00795CE6">
        <w:rPr>
          <w:rFonts w:ascii="標楷體" w:eastAsia="標楷體" w:hAnsi="標楷體"/>
          <w:szCs w:val="24"/>
        </w:rPr>
        <w:t>，截至 11</w:t>
      </w:r>
      <w:r>
        <w:rPr>
          <w:rFonts w:ascii="標楷體" w:eastAsia="標楷體" w:hAnsi="標楷體"/>
          <w:szCs w:val="24"/>
        </w:rPr>
        <w:t>3</w:t>
      </w:r>
      <w:r w:rsidRPr="00795CE6">
        <w:rPr>
          <w:rFonts w:ascii="標楷體" w:eastAsia="標楷體" w:hAnsi="標楷體"/>
          <w:szCs w:val="24"/>
        </w:rPr>
        <w:t xml:space="preserve"> 年</w:t>
      </w:r>
      <w:r>
        <w:rPr>
          <w:rFonts w:ascii="標楷體" w:eastAsia="標楷體" w:hAnsi="標楷體"/>
          <w:szCs w:val="24"/>
        </w:rPr>
        <w:t>7</w:t>
      </w:r>
      <w:r w:rsidRPr="00795CE6">
        <w:rPr>
          <w:rFonts w:ascii="標楷體" w:eastAsia="標楷體" w:hAnsi="標楷體"/>
          <w:szCs w:val="24"/>
        </w:rPr>
        <w:t>月底，收案</w:t>
      </w:r>
      <w:r>
        <w:rPr>
          <w:rFonts w:ascii="標楷體" w:eastAsia="標楷體" w:hAnsi="標楷體"/>
          <w:szCs w:val="24"/>
        </w:rPr>
        <w:t>10</w:t>
      </w:r>
      <w:proofErr w:type="gramStart"/>
      <w:r w:rsidRPr="00795CE6">
        <w:rPr>
          <w:rFonts w:ascii="標楷體" w:eastAsia="標楷體" w:hAnsi="標楷體"/>
          <w:szCs w:val="24"/>
        </w:rPr>
        <w:t>人失智</w:t>
      </w:r>
      <w:proofErr w:type="gramEnd"/>
      <w:r w:rsidRPr="00795CE6">
        <w:rPr>
          <w:rFonts w:ascii="標楷體" w:eastAsia="標楷體" w:hAnsi="標楷體"/>
          <w:szCs w:val="24"/>
        </w:rPr>
        <w:t>個案。</w:t>
      </w:r>
    </w:p>
    <w:p w:rsidR="00E80983" w:rsidRDefault="00E80983" w:rsidP="005E73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</w:t>
      </w:r>
      <w:r w:rsidR="005E73DB" w:rsidRPr="00795CE6">
        <w:rPr>
          <w:rFonts w:ascii="標楷體" w:eastAsia="標楷體" w:hAnsi="標楷體"/>
          <w:szCs w:val="24"/>
        </w:rPr>
        <w:t>據統計</w:t>
      </w:r>
      <w:r w:rsidR="005E73DB">
        <w:rPr>
          <w:rFonts w:ascii="標楷體" w:eastAsia="標楷體" w:hAnsi="標楷體"/>
          <w:szCs w:val="24"/>
        </w:rPr>
        <w:t>信義鄉衛生所</w:t>
      </w:r>
      <w:r w:rsidR="005E73DB" w:rsidRPr="00795CE6">
        <w:rPr>
          <w:rFonts w:ascii="標楷體" w:eastAsia="標楷體" w:hAnsi="標楷體"/>
          <w:szCs w:val="24"/>
        </w:rPr>
        <w:t>1</w:t>
      </w:r>
      <w:r w:rsidR="005E73DB">
        <w:rPr>
          <w:rFonts w:ascii="標楷體" w:eastAsia="標楷體" w:hAnsi="標楷體"/>
          <w:szCs w:val="24"/>
        </w:rPr>
        <w:t>13</w:t>
      </w:r>
      <w:r w:rsidR="005E73DB" w:rsidRPr="00795CE6">
        <w:rPr>
          <w:rFonts w:ascii="標楷體" w:eastAsia="標楷體" w:hAnsi="標楷體"/>
          <w:szCs w:val="24"/>
        </w:rPr>
        <w:t>年提供失智症照顧服務人數占領有身心障礙手冊</w:t>
      </w:r>
    </w:p>
    <w:p w:rsidR="00E80983" w:rsidRDefault="00E80983" w:rsidP="005E73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E73DB" w:rsidRPr="00795CE6">
        <w:rPr>
          <w:rFonts w:ascii="標楷體" w:eastAsia="標楷體" w:hAnsi="標楷體"/>
          <w:szCs w:val="24"/>
        </w:rPr>
        <w:t>之失智症者</w:t>
      </w:r>
      <w:r w:rsidR="005E73DB">
        <w:rPr>
          <w:rFonts w:ascii="標楷體" w:eastAsia="標楷體" w:hAnsi="標楷體"/>
          <w:szCs w:val="24"/>
        </w:rPr>
        <w:t>有6位</w:t>
      </w:r>
      <w:r w:rsidR="005E73DB" w:rsidRPr="00795CE6">
        <w:rPr>
          <w:rFonts w:ascii="標楷體" w:eastAsia="標楷體" w:hAnsi="標楷體"/>
          <w:szCs w:val="24"/>
        </w:rPr>
        <w:t>，由此顯示</w:t>
      </w:r>
      <w:r w:rsidR="005E73DB">
        <w:rPr>
          <w:rFonts w:ascii="標楷體" w:eastAsia="標楷體" w:hAnsi="標楷體"/>
          <w:szCs w:val="24"/>
        </w:rPr>
        <w:t>本所</w:t>
      </w:r>
      <w:r w:rsidR="005E73DB" w:rsidRPr="00795CE6">
        <w:rPr>
          <w:rFonts w:ascii="標楷體" w:eastAsia="標楷體" w:hAnsi="標楷體"/>
          <w:szCs w:val="24"/>
        </w:rPr>
        <w:t>積極提供失智症者完善的照顧服務，有</w:t>
      </w:r>
    </w:p>
    <w:p w:rsidR="005E73DB" w:rsidRPr="00795CE6" w:rsidRDefault="00E80983" w:rsidP="005E73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5E73DB" w:rsidRPr="00795CE6">
        <w:rPr>
          <w:rFonts w:ascii="標楷體" w:eastAsia="標楷體" w:hAnsi="標楷體"/>
          <w:szCs w:val="24"/>
        </w:rPr>
        <w:t>效</w:t>
      </w:r>
      <w:proofErr w:type="gramEnd"/>
      <w:r w:rsidR="005E73DB" w:rsidRPr="00795CE6">
        <w:rPr>
          <w:rFonts w:ascii="標楷體" w:eastAsia="標楷體" w:hAnsi="標楷體"/>
          <w:szCs w:val="24"/>
        </w:rPr>
        <w:t>滿足其照顧需求。</w:t>
      </w:r>
    </w:p>
    <w:p w:rsidR="00BB5A75" w:rsidRPr="005E73DB" w:rsidRDefault="00BB5A75" w:rsidP="00795CE6">
      <w:pPr>
        <w:rPr>
          <w:rFonts w:ascii="標楷體" w:eastAsia="標楷體" w:hAnsi="標楷體"/>
          <w:szCs w:val="24"/>
        </w:rPr>
      </w:pPr>
    </w:p>
    <w:p w:rsidR="00BB5A75" w:rsidRPr="00795CE6" w:rsidRDefault="00BB5A75" w:rsidP="00795CE6">
      <w:pPr>
        <w:rPr>
          <w:rFonts w:ascii="標楷體" w:eastAsia="標楷體" w:hAnsi="標楷體"/>
          <w:szCs w:val="24"/>
        </w:rPr>
      </w:pPr>
    </w:p>
    <w:p w:rsidR="00BB5A75" w:rsidRDefault="00CC6523" w:rsidP="00795CE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2419350" cy="3009900"/>
            <wp:effectExtent l="19050" t="0" r="0" b="0"/>
            <wp:wrapNone/>
            <wp:docPr id="3" name="圖片 22" descr="D:\YF20200604\Health education advocacy\112衛生教育\PIG\1120315望鄉文健站DM\LINE_ALBUM_20230315望鄉文健站_23032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YF20200604\Health education advocacy\112衛生教育\PIG\1120315望鄉文健站DM\LINE_ALBUM_20230315望鄉文健站_230322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6523" w:rsidRDefault="00CC6523" w:rsidP="00795CE6">
      <w:pPr>
        <w:rPr>
          <w:rFonts w:ascii="標楷體" w:eastAsia="標楷體" w:hAnsi="標楷體" w:hint="eastAsia"/>
          <w:szCs w:val="24"/>
        </w:rPr>
      </w:pPr>
    </w:p>
    <w:p w:rsidR="00CC6523" w:rsidRPr="00795CE6" w:rsidRDefault="00CC6523" w:rsidP="00795C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2667000</wp:posOffset>
            </wp:positionV>
            <wp:extent cx="2209800" cy="2981325"/>
            <wp:effectExtent l="19050" t="0" r="0" b="0"/>
            <wp:wrapNone/>
            <wp:docPr id="2" name="圖片 50" descr="\\172.18.112.119\共用區\信義鄉衛生所衛教區\112年\照片區\1120504健走\LINE_ALBUM_1120504_230508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\172.18.112.119\共用區\信義鄉衛生所衛教區\112年\照片區\1120504健走\LINE_ALBUM_1120504_230508_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3114675</wp:posOffset>
            </wp:positionV>
            <wp:extent cx="2628900" cy="2705768"/>
            <wp:effectExtent l="19050" t="0" r="0" b="0"/>
            <wp:wrapNone/>
            <wp:docPr id="1" name="圖片 48" descr="\\172.18.112.119\共用區\信義鄉衛生所衛教區\113年相片\1130330梅子夢工廠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172.18.112.119\共用區\信義鄉衛生所衛教區\113年相片\1130330梅子夢工廠\IMG_0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05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2952750" cy="2270205"/>
            <wp:effectExtent l="19050" t="0" r="0" b="0"/>
            <wp:wrapNone/>
            <wp:docPr id="4" name="圖片 52" descr="D:\YF20200604\112-高齡、失智、失能\113照片\113促\0625\S__406569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YF20200604\112-高齡、失智、失能\113照片\113促\0625\S__40656936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C6523" w:rsidRPr="00795CE6" w:rsidSect="00B71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65" w:rsidRDefault="004B0D65" w:rsidP="00BB5A75">
      <w:r>
        <w:separator/>
      </w:r>
    </w:p>
  </w:endnote>
  <w:endnote w:type="continuationSeparator" w:id="1">
    <w:p w:rsidR="004B0D65" w:rsidRDefault="004B0D65" w:rsidP="00BB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65" w:rsidRDefault="004B0D65" w:rsidP="00BB5A75">
      <w:r>
        <w:separator/>
      </w:r>
    </w:p>
  </w:footnote>
  <w:footnote w:type="continuationSeparator" w:id="1">
    <w:p w:rsidR="004B0D65" w:rsidRDefault="004B0D65" w:rsidP="00BB5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441"/>
    <w:multiLevelType w:val="multilevel"/>
    <w:tmpl w:val="6A26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24485"/>
    <w:multiLevelType w:val="multilevel"/>
    <w:tmpl w:val="BBB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550"/>
    <w:rsid w:val="000250FD"/>
    <w:rsid w:val="00027E7D"/>
    <w:rsid w:val="001743E7"/>
    <w:rsid w:val="001B146E"/>
    <w:rsid w:val="0021019C"/>
    <w:rsid w:val="00241393"/>
    <w:rsid w:val="00264473"/>
    <w:rsid w:val="002A3CE4"/>
    <w:rsid w:val="002B0F50"/>
    <w:rsid w:val="00302DC1"/>
    <w:rsid w:val="003F157D"/>
    <w:rsid w:val="00412A0A"/>
    <w:rsid w:val="00443FF8"/>
    <w:rsid w:val="00454388"/>
    <w:rsid w:val="00454A95"/>
    <w:rsid w:val="004649E3"/>
    <w:rsid w:val="004B0D65"/>
    <w:rsid w:val="004E121A"/>
    <w:rsid w:val="00583559"/>
    <w:rsid w:val="005E73DB"/>
    <w:rsid w:val="00615A77"/>
    <w:rsid w:val="007236EC"/>
    <w:rsid w:val="0074096E"/>
    <w:rsid w:val="00785837"/>
    <w:rsid w:val="00795CE6"/>
    <w:rsid w:val="00796773"/>
    <w:rsid w:val="007F4494"/>
    <w:rsid w:val="00841A30"/>
    <w:rsid w:val="00893F9F"/>
    <w:rsid w:val="008D129B"/>
    <w:rsid w:val="008F5C8F"/>
    <w:rsid w:val="00A222BB"/>
    <w:rsid w:val="00A409FA"/>
    <w:rsid w:val="00A77230"/>
    <w:rsid w:val="00AA1A7A"/>
    <w:rsid w:val="00B17B04"/>
    <w:rsid w:val="00B53866"/>
    <w:rsid w:val="00B71F8D"/>
    <w:rsid w:val="00BB5A75"/>
    <w:rsid w:val="00BB69A5"/>
    <w:rsid w:val="00C12B8D"/>
    <w:rsid w:val="00CC0D9B"/>
    <w:rsid w:val="00CC6523"/>
    <w:rsid w:val="00D06C5E"/>
    <w:rsid w:val="00D45201"/>
    <w:rsid w:val="00D61CE3"/>
    <w:rsid w:val="00E02E4C"/>
    <w:rsid w:val="00E11999"/>
    <w:rsid w:val="00E1656E"/>
    <w:rsid w:val="00E71329"/>
    <w:rsid w:val="00E80983"/>
    <w:rsid w:val="00EC0BEB"/>
    <w:rsid w:val="00F95550"/>
    <w:rsid w:val="00F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8D"/>
    <w:pPr>
      <w:widowControl w:val="0"/>
    </w:pPr>
  </w:style>
  <w:style w:type="paragraph" w:styleId="3">
    <w:name w:val="heading 3"/>
    <w:basedOn w:val="a"/>
    <w:link w:val="30"/>
    <w:uiPriority w:val="9"/>
    <w:qFormat/>
    <w:rsid w:val="00F955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9555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955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95550"/>
    <w:rPr>
      <w:b/>
      <w:bCs/>
    </w:rPr>
  </w:style>
  <w:style w:type="character" w:styleId="a4">
    <w:name w:val="Hyperlink"/>
    <w:basedOn w:val="a0"/>
    <w:uiPriority w:val="99"/>
    <w:semiHidden/>
    <w:unhideWhenUsed/>
    <w:rsid w:val="00F955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49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B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B5A7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B5A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2024-07-15T04:12:00Z</dcterms:created>
  <dcterms:modified xsi:type="dcterms:W3CDTF">2024-08-08T08:18:00Z</dcterms:modified>
</cp:coreProperties>
</file>