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C561C" w14:textId="77777777" w:rsidR="000604AB" w:rsidRPr="000604AB" w:rsidRDefault="000604AB" w:rsidP="00603FF9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32"/>
          <w:szCs w:val="52"/>
        </w:rPr>
      </w:pPr>
      <w:bookmarkStart w:id="0" w:name="_Toc525897084"/>
      <w:r w:rsidRPr="000604AB">
        <w:rPr>
          <w:rFonts w:ascii="Times New Roman" w:eastAsia="標楷體" w:hAnsi="Times New Roman" w:cs="Times New Roman" w:hint="eastAsia"/>
          <w:b/>
          <w:bCs/>
          <w:color w:val="000000" w:themeColor="text1"/>
          <w:kern w:val="52"/>
          <w:sz w:val="32"/>
          <w:szCs w:val="52"/>
        </w:rPr>
        <w:t>南投縣政府衛生局</w:t>
      </w:r>
    </w:p>
    <w:p w14:paraId="24EF850C" w14:textId="314AB58F" w:rsidR="00603FF9" w:rsidRPr="000604AB" w:rsidRDefault="000604AB" w:rsidP="00603FF9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604AB">
        <w:rPr>
          <w:rFonts w:ascii="Times New Roman" w:eastAsia="標楷體" w:hAnsi="Times New Roman" w:cs="Times New Roman" w:hint="eastAsia"/>
          <w:b/>
          <w:bCs/>
          <w:color w:val="000000" w:themeColor="text1"/>
          <w:kern w:val="52"/>
          <w:sz w:val="32"/>
          <w:szCs w:val="52"/>
        </w:rPr>
        <w:t>人類乳突病毒疫苗（</w:t>
      </w:r>
      <w:r w:rsidRPr="000604AB">
        <w:rPr>
          <w:rFonts w:ascii="Times New Roman" w:eastAsia="標楷體" w:hAnsi="Times New Roman" w:cs="Times New Roman" w:hint="eastAsia"/>
          <w:b/>
          <w:bCs/>
          <w:color w:val="000000" w:themeColor="text1"/>
          <w:kern w:val="52"/>
          <w:sz w:val="32"/>
          <w:szCs w:val="52"/>
        </w:rPr>
        <w:t>HPV</w:t>
      </w:r>
      <w:r w:rsidRPr="000604AB">
        <w:rPr>
          <w:rFonts w:ascii="Times New Roman" w:eastAsia="標楷體" w:hAnsi="Times New Roman" w:cs="Times New Roman" w:hint="eastAsia"/>
          <w:b/>
          <w:bCs/>
          <w:color w:val="000000" w:themeColor="text1"/>
          <w:kern w:val="52"/>
          <w:sz w:val="32"/>
          <w:szCs w:val="52"/>
        </w:rPr>
        <w:t>疫苗）合約醫療院所</w:t>
      </w:r>
      <w:r w:rsidR="00603FF9" w:rsidRPr="000604AB">
        <w:rPr>
          <w:rFonts w:ascii="Times New Roman" w:eastAsia="標楷體" w:hAnsi="Times New Roman" w:cs="Times New Roman"/>
          <w:b/>
          <w:bCs/>
          <w:color w:val="000000" w:themeColor="text1"/>
          <w:kern w:val="52"/>
          <w:sz w:val="32"/>
          <w:szCs w:val="52"/>
        </w:rPr>
        <w:t>合約書</w:t>
      </w:r>
      <w:bookmarkEnd w:id="0"/>
    </w:p>
    <w:p w14:paraId="13CFEB5D" w14:textId="5C4C3699" w:rsidR="00603FF9" w:rsidRPr="00603FF9" w:rsidRDefault="000604AB" w:rsidP="00603FF9">
      <w:pPr>
        <w:snapToGrid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南投</w:t>
      </w:r>
      <w:r w:rsidR="00603FF9"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政府衛生局</w:t>
      </w:r>
      <w:r w:rsidR="00603FF9"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603FF9"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以下簡稱甲方</w:t>
      </w:r>
      <w:r w:rsidR="00603FF9"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603FF9"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依據衛生福利部國民</w:t>
      </w:r>
      <w:proofErr w:type="gramStart"/>
      <w:r w:rsidR="00603FF9"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健康署</w:t>
      </w:r>
      <w:proofErr w:type="gramEnd"/>
      <w:r w:rsidR="00603FF9"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公佈之「</w:t>
      </w:r>
      <w:r w:rsidR="00603FF9" w:rsidRPr="00603FF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人類乳突病毒疫苗（</w:t>
      </w:r>
      <w:r w:rsidR="00603FF9" w:rsidRPr="00603FF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HPV</w:t>
      </w:r>
      <w:r w:rsidR="00603FF9" w:rsidRPr="00603FF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疫苗）</w:t>
      </w:r>
      <w:r w:rsidR="00603FF9"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接種方案」，特委託</w:t>
      </w:r>
      <w:r w:rsidR="00603FF9"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</w:t>
      </w:r>
      <w:r w:rsidR="00603FF9"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603FF9"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醫院診所</w:t>
      </w:r>
      <w:r w:rsidR="00603FF9"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603FF9"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以下簡稱乙方</w:t>
      </w:r>
      <w:r w:rsidR="00603FF9"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proofErr w:type="gramStart"/>
      <w:r w:rsidR="00603FF9"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="00603FF9"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醫療機構代碼：</w:t>
      </w:r>
      <w:r w:rsidR="00603FF9"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="00603FF9"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</w:t>
      </w:r>
      <w:r w:rsidR="00603FF9"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）協助辦理人類乳突病毒疫苗接種工作，訂定條款如下：</w:t>
      </w:r>
    </w:p>
    <w:p w14:paraId="2A8505A2" w14:textId="77777777" w:rsidR="00603FF9" w:rsidRPr="00603FF9" w:rsidRDefault="00603FF9" w:rsidP="00603FF9">
      <w:pPr>
        <w:numPr>
          <w:ilvl w:val="0"/>
          <w:numId w:val="11"/>
        </w:numPr>
        <w:tabs>
          <w:tab w:val="left" w:pos="660"/>
        </w:tabs>
        <w:suppressAutoHyphens/>
        <w:autoSpaceDN w:val="0"/>
        <w:snapToGrid w:val="0"/>
        <w:spacing w:before="180"/>
        <w:ind w:left="658" w:hanging="65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乙方應向甲方提報相關資料，並經甲方審核通過，始辦理接種業務。</w:t>
      </w:r>
    </w:p>
    <w:p w14:paraId="4C35F031" w14:textId="77777777" w:rsidR="00603FF9" w:rsidRPr="00603FF9" w:rsidRDefault="00603FF9" w:rsidP="00603FF9">
      <w:pPr>
        <w:numPr>
          <w:ilvl w:val="0"/>
          <w:numId w:val="11"/>
        </w:numPr>
        <w:tabs>
          <w:tab w:val="left" w:pos="660"/>
        </w:tabs>
        <w:suppressAutoHyphens/>
        <w:autoSpaceDN w:val="0"/>
        <w:snapToGrid w:val="0"/>
        <w:spacing w:before="180"/>
        <w:ind w:left="658" w:hanging="65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乙方應依照</w:t>
      </w:r>
      <w:r w:rsidRPr="00603FF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甲方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訂定之作業流程、規定之接種對象、工作項目、時程等辦理本項接種工作，並依規定進行相關事項之公告、提報各項資料，並配合國民</w:t>
      </w:r>
      <w:proofErr w:type="gramStart"/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健康署</w:t>
      </w:r>
      <w:proofErr w:type="gramEnd"/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或甲方後續發佈之相關行政措施。</w:t>
      </w:r>
    </w:p>
    <w:p w14:paraId="4C4C678F" w14:textId="77777777" w:rsidR="00603FF9" w:rsidRPr="00603FF9" w:rsidRDefault="00603FF9" w:rsidP="00603FF9">
      <w:pPr>
        <w:numPr>
          <w:ilvl w:val="0"/>
          <w:numId w:val="11"/>
        </w:numPr>
        <w:tabs>
          <w:tab w:val="left" w:pos="660"/>
        </w:tabs>
        <w:suppressAutoHyphens/>
        <w:autoSpaceDN w:val="0"/>
        <w:snapToGrid w:val="0"/>
        <w:spacing w:before="180"/>
        <w:ind w:left="658" w:hanging="65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乙方於辦理本項接種業務時，應就下列項目張貼公告於明顯處，使民眾瞭解本項接種服務之相關規定。</w:t>
      </w:r>
    </w:p>
    <w:p w14:paraId="2A2DB809" w14:textId="77777777" w:rsidR="00603FF9" w:rsidRPr="00603FF9" w:rsidRDefault="00603FF9" w:rsidP="00603FF9">
      <w:pPr>
        <w:numPr>
          <w:ilvl w:val="0"/>
          <w:numId w:val="12"/>
        </w:numPr>
        <w:tabs>
          <w:tab w:val="left" w:pos="1400"/>
        </w:tabs>
        <w:suppressAutoHyphens/>
        <w:autoSpaceDN w:val="0"/>
        <w:snapToGrid w:val="0"/>
        <w:ind w:left="1414" w:hanging="826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03FF9">
        <w:rPr>
          <w:rFonts w:ascii="標楷體" w:eastAsia="標楷體" w:hAnsi="標楷體" w:cs="Times New Roman"/>
          <w:color w:val="000000" w:themeColor="text1"/>
          <w:sz w:val="28"/>
          <w:szCs w:val="28"/>
        </w:rPr>
        <w:t>接種流程：小型診所如其接種流程與平常看診無異，可免公告。</w:t>
      </w:r>
    </w:p>
    <w:p w14:paraId="36F9F801" w14:textId="77777777" w:rsidR="00603FF9" w:rsidRPr="00603FF9" w:rsidRDefault="00603FF9" w:rsidP="00603FF9">
      <w:pPr>
        <w:numPr>
          <w:ilvl w:val="0"/>
          <w:numId w:val="12"/>
        </w:numPr>
        <w:tabs>
          <w:tab w:val="left" w:pos="1400"/>
        </w:tabs>
        <w:suppressAutoHyphens/>
        <w:autoSpaceDN w:val="0"/>
        <w:snapToGrid w:val="0"/>
        <w:ind w:left="1414" w:hanging="826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03FF9">
        <w:rPr>
          <w:rFonts w:ascii="標楷體" w:eastAsia="標楷體" w:hAnsi="標楷體" w:cs="Times New Roman"/>
          <w:color w:val="000000" w:themeColor="text1"/>
          <w:sz w:val="28"/>
          <w:szCs w:val="28"/>
        </w:rPr>
        <w:t>掛號方式：如現場掛號及預約辦法。</w:t>
      </w:r>
    </w:p>
    <w:p w14:paraId="2EAC03D3" w14:textId="77777777" w:rsidR="00603FF9" w:rsidRPr="00603FF9" w:rsidRDefault="00603FF9" w:rsidP="00603FF9">
      <w:pPr>
        <w:numPr>
          <w:ilvl w:val="0"/>
          <w:numId w:val="12"/>
        </w:numPr>
        <w:tabs>
          <w:tab w:val="left" w:pos="1400"/>
        </w:tabs>
        <w:suppressAutoHyphens/>
        <w:autoSpaceDN w:val="0"/>
        <w:snapToGrid w:val="0"/>
        <w:ind w:left="1414" w:hanging="826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03FF9">
        <w:rPr>
          <w:rFonts w:ascii="標楷體" w:eastAsia="標楷體" w:hAnsi="標楷體" w:cs="Times New Roman"/>
          <w:color w:val="000000" w:themeColor="text1"/>
          <w:sz w:val="28"/>
          <w:szCs w:val="28"/>
        </w:rPr>
        <w:t>張貼衛生單位印製之單張、海報及相關注意事項。</w:t>
      </w:r>
    </w:p>
    <w:p w14:paraId="181B77BE" w14:textId="77777777" w:rsidR="00603FF9" w:rsidRPr="00603FF9" w:rsidRDefault="00603FF9" w:rsidP="00603FF9">
      <w:pPr>
        <w:numPr>
          <w:ilvl w:val="0"/>
          <w:numId w:val="11"/>
        </w:numPr>
        <w:tabs>
          <w:tab w:val="left" w:pos="660"/>
        </w:tabs>
        <w:suppressAutoHyphens/>
        <w:autoSpaceDN w:val="0"/>
        <w:snapToGrid w:val="0"/>
        <w:spacing w:before="180"/>
        <w:ind w:left="658" w:hanging="65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乙方於辦理本項接種業務時，應特別注意，不得違反下列事項：</w:t>
      </w:r>
    </w:p>
    <w:p w14:paraId="70CD6F70" w14:textId="77777777" w:rsidR="00603FF9" w:rsidRPr="00603FF9" w:rsidRDefault="00603FF9" w:rsidP="00603FF9">
      <w:pPr>
        <w:suppressAutoHyphens/>
        <w:autoSpaceDN w:val="0"/>
        <w:snapToGrid w:val="0"/>
        <w:ind w:left="1429" w:hanging="896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（一）</w:t>
      </w:r>
      <w:r w:rsidRPr="00603FF9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ab/>
      </w:r>
      <w:r w:rsidRPr="00603FF9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自費疫苗與本計畫提供之免費疫苗應分開存放，且不可將公費疫苗</w:t>
      </w:r>
      <w:proofErr w:type="gramStart"/>
      <w:r w:rsidRPr="00603FF9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施打於非</w:t>
      </w:r>
      <w:proofErr w:type="gramEnd"/>
      <w:r w:rsidRPr="00603FF9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本計畫實施對象。</w:t>
      </w:r>
    </w:p>
    <w:p w14:paraId="14391D77" w14:textId="77777777" w:rsidR="00603FF9" w:rsidRPr="00603FF9" w:rsidRDefault="00603FF9" w:rsidP="00603FF9">
      <w:pPr>
        <w:snapToGrid w:val="0"/>
        <w:ind w:left="1429" w:hanging="89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確保服務品質：提供民眾疫苗正確知識，配合計畫採取相關行政措施，提供方便、快速及親切之接種服務。</w:t>
      </w:r>
    </w:p>
    <w:p w14:paraId="6E2C28C8" w14:textId="77777777" w:rsidR="00603FF9" w:rsidRPr="00603FF9" w:rsidRDefault="00603FF9" w:rsidP="00603FF9">
      <w:pPr>
        <w:snapToGrid w:val="0"/>
        <w:ind w:left="1429" w:hanging="89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接種個案資料應確實</w:t>
      </w:r>
      <w:r w:rsidRPr="00603FF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申報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2F257698" w14:textId="77777777" w:rsidR="00603FF9" w:rsidRPr="00603FF9" w:rsidRDefault="00603FF9" w:rsidP="00603FF9">
      <w:pPr>
        <w:snapToGrid w:val="0"/>
        <w:ind w:left="1429" w:hanging="89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接種前應發給接種者接種須知並詳細診察評估。</w:t>
      </w:r>
    </w:p>
    <w:p w14:paraId="4B437B76" w14:textId="77777777" w:rsidR="00603FF9" w:rsidRPr="00603FF9" w:rsidRDefault="00603FF9" w:rsidP="00603FF9">
      <w:pPr>
        <w:snapToGrid w:val="0"/>
        <w:ind w:left="1429" w:hanging="89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（五）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對於個案接種後所產生之反應（如紅腫、發燒、虛弱等反應），應予妥適之處置及治療。</w:t>
      </w:r>
    </w:p>
    <w:p w14:paraId="76E43A53" w14:textId="77777777" w:rsidR="00603FF9" w:rsidRPr="00603FF9" w:rsidRDefault="00603FF9" w:rsidP="00603FF9">
      <w:pPr>
        <w:numPr>
          <w:ilvl w:val="0"/>
          <w:numId w:val="11"/>
        </w:numPr>
        <w:suppressAutoHyphens/>
        <w:autoSpaceDN w:val="0"/>
        <w:snapToGrid w:val="0"/>
        <w:spacing w:before="180"/>
        <w:jc w:val="both"/>
        <w:textAlignment w:val="baseline"/>
        <w:rPr>
          <w:rFonts w:ascii="標楷體" w:eastAsia="標楷體" w:hAnsi="標楷體" w:cs="Times New Roman"/>
          <w:color w:val="000000" w:themeColor="text1"/>
        </w:rPr>
      </w:pPr>
      <w:r w:rsidRPr="00603FF9">
        <w:rPr>
          <w:rFonts w:ascii="標楷體" w:eastAsia="標楷體" w:hAnsi="標楷體" w:cs="Times New Roman"/>
          <w:color w:val="000000" w:themeColor="text1"/>
          <w:sz w:val="28"/>
          <w:szCs w:val="28"/>
        </w:rPr>
        <w:t>乙方辦理本項計畫實施對象之接種工作，依規定向</w:t>
      </w:r>
      <w:r w:rsidRPr="00603FF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甲方</w:t>
      </w:r>
      <w:r w:rsidRPr="00603FF9">
        <w:rPr>
          <w:rFonts w:ascii="標楷體" w:eastAsia="標楷體" w:hAnsi="標楷體" w:cs="Times New Roman"/>
          <w:color w:val="000000" w:themeColor="text1"/>
          <w:sz w:val="28"/>
          <w:szCs w:val="28"/>
        </w:rPr>
        <w:t>申報接種處置費；掛號費之收取得由甲方訂定之。門診單純注射人類乳突病毒疫苗者得免部分負擔，門診看病或住院期間順便注射疫苗者仍應</w:t>
      </w:r>
      <w:proofErr w:type="gramStart"/>
      <w:r w:rsidRPr="00603FF9">
        <w:rPr>
          <w:rFonts w:ascii="標楷體" w:eastAsia="標楷體" w:hAnsi="標楷體" w:cs="Times New Roman"/>
          <w:color w:val="000000" w:themeColor="text1"/>
          <w:sz w:val="28"/>
          <w:szCs w:val="28"/>
        </w:rPr>
        <w:t>依門住診</w:t>
      </w:r>
      <w:proofErr w:type="gramEnd"/>
      <w:r w:rsidRPr="00603FF9">
        <w:rPr>
          <w:rFonts w:ascii="標楷體" w:eastAsia="標楷體" w:hAnsi="標楷體" w:cs="Times New Roman"/>
          <w:color w:val="000000" w:themeColor="text1"/>
          <w:sz w:val="28"/>
          <w:szCs w:val="28"/>
        </w:rPr>
        <w:t>規定自付部分負擔。</w:t>
      </w:r>
    </w:p>
    <w:p w14:paraId="2C9E87E7" w14:textId="77777777" w:rsidR="00603FF9" w:rsidRPr="00603FF9" w:rsidRDefault="00603FF9" w:rsidP="00603FF9">
      <w:pPr>
        <w:numPr>
          <w:ilvl w:val="0"/>
          <w:numId w:val="11"/>
        </w:numPr>
        <w:tabs>
          <w:tab w:val="left" w:pos="660"/>
        </w:tabs>
        <w:suppressAutoHyphens/>
        <w:autoSpaceDN w:val="0"/>
        <w:snapToGrid w:val="0"/>
        <w:spacing w:before="180"/>
        <w:ind w:left="658" w:hanging="65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甲方人員得隨時前往乙方查核冷藏設備、前述應提報資料、應公告事項、應注意事項、建議</w:t>
      </w:r>
      <w:proofErr w:type="gramStart"/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採</w:t>
      </w:r>
      <w:proofErr w:type="gramEnd"/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行之配套措施及其他相關資料與事項，乙方不得拒絕。</w:t>
      </w:r>
    </w:p>
    <w:p w14:paraId="58D0653C" w14:textId="77777777" w:rsidR="00603FF9" w:rsidRPr="00603FF9" w:rsidRDefault="00603FF9" w:rsidP="00603FF9">
      <w:pPr>
        <w:numPr>
          <w:ilvl w:val="0"/>
          <w:numId w:val="11"/>
        </w:numPr>
        <w:tabs>
          <w:tab w:val="left" w:pos="660"/>
        </w:tabs>
        <w:suppressAutoHyphens/>
        <w:autoSpaceDN w:val="0"/>
        <w:snapToGrid w:val="0"/>
        <w:spacing w:before="180"/>
        <w:ind w:left="658" w:hanging="65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罰則</w:t>
      </w:r>
    </w:p>
    <w:p w14:paraId="4DC8911A" w14:textId="77777777" w:rsidR="00603FF9" w:rsidRPr="00603FF9" w:rsidRDefault="00603FF9" w:rsidP="00603FF9">
      <w:pPr>
        <w:tabs>
          <w:tab w:val="left" w:pos="1470"/>
        </w:tabs>
        <w:snapToGrid w:val="0"/>
        <w:ind w:left="1469" w:hanging="924"/>
        <w:jc w:val="both"/>
        <w:rPr>
          <w:rFonts w:ascii="Times New Roman" w:hAnsi="Times New Roman" w:cs="Times New Roman"/>
          <w:color w:val="000000" w:themeColor="text1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乙方辦理本項接種工作之疫苗，由甲方免費供應，並由雙方</w:t>
      </w:r>
      <w:proofErr w:type="gramStart"/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協定領送方式</w:t>
      </w:r>
      <w:proofErr w:type="gramEnd"/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。乙方應依規定之冷藏溫度等儲存及運送疫苗，並向甲方報銷。如有因乙方之過失致疫苗短少或毀損時，應依「</w:t>
      </w:r>
      <w:r w:rsidRPr="00603FF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公費疫苗毀損賠償等級表」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負疫苗損害賠償責任及造成行政計畫推行困難之懲罰性違約金，情節重大者連帶終止合約。</w:t>
      </w:r>
    </w:p>
    <w:p w14:paraId="22737846" w14:textId="77777777" w:rsidR="00603FF9" w:rsidRPr="00603FF9" w:rsidRDefault="00603FF9" w:rsidP="00603FF9">
      <w:pPr>
        <w:tabs>
          <w:tab w:val="left" w:pos="1470"/>
        </w:tabs>
        <w:snapToGrid w:val="0"/>
        <w:ind w:left="1469" w:hanging="92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乙方未依契約規定履約者，甲方得隨時通知乙方部分或全部暫停執行，至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情況改正後，方准恢復履約。</w:t>
      </w:r>
    </w:p>
    <w:p w14:paraId="42D9E980" w14:textId="72D76B7D" w:rsidR="00603FF9" w:rsidRPr="00603FF9" w:rsidRDefault="00603FF9" w:rsidP="00603FF9">
      <w:pPr>
        <w:tabs>
          <w:tab w:val="left" w:pos="1470"/>
        </w:tabs>
        <w:snapToGrid w:val="0"/>
        <w:ind w:left="1469" w:hanging="92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未依規定進行相關事項之公告、未能配合本項接種工作於</w:t>
      </w:r>
      <w:r w:rsidRPr="00603FF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「全國性預防接種資訊管理系統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(NIIS)</w:t>
      </w:r>
      <w:r w:rsidRPr="00603FF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」規定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提報各項報表及採取行政配套措施，列為明年不再續約之觀察名單。</w:t>
      </w:r>
    </w:p>
    <w:p w14:paraId="3CDFA5B2" w14:textId="77777777" w:rsidR="00603FF9" w:rsidRPr="00603FF9" w:rsidRDefault="00603FF9" w:rsidP="00603FF9">
      <w:pPr>
        <w:tabs>
          <w:tab w:val="left" w:pos="1470"/>
        </w:tabs>
        <w:snapToGrid w:val="0"/>
        <w:ind w:left="1469" w:hanging="92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公費疫苗接種費用應依當年度計畫規定收取規定範圍內費用，超額收取將取消合約資格。</w:t>
      </w:r>
    </w:p>
    <w:p w14:paraId="6AE48177" w14:textId="77777777" w:rsidR="00603FF9" w:rsidRPr="00603FF9" w:rsidRDefault="00603FF9" w:rsidP="00603FF9">
      <w:pPr>
        <w:tabs>
          <w:tab w:val="left" w:pos="1470"/>
        </w:tabs>
        <w:snapToGrid w:val="0"/>
        <w:ind w:left="1469" w:hanging="92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（五）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乙方未依契約規定履約者，經甲方書面通知改善後，仍不改善者，甲方得隨時予以終止合約，乙方應將尚未使用之疫苗及標示牌交還甲方。繳還時疫苗如有短少且蓄意違反善良管理人之保管義務，</w:t>
      </w:r>
      <w:r w:rsidRPr="00603FF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依相關規定辦理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5B47B055" w14:textId="77777777" w:rsidR="00603FF9" w:rsidRPr="00603FF9" w:rsidRDefault="00603FF9" w:rsidP="00603FF9">
      <w:pPr>
        <w:tabs>
          <w:tab w:val="left" w:pos="1470"/>
        </w:tabs>
        <w:snapToGrid w:val="0"/>
        <w:ind w:left="1469" w:hanging="92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（六）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ab/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乙方如涉有違反醫療相關法令規定者，由相關單位依相關法令處理。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</w:p>
    <w:p w14:paraId="6844A1B1" w14:textId="77777777" w:rsidR="00603FF9" w:rsidRPr="00603FF9" w:rsidRDefault="00603FF9" w:rsidP="00603FF9">
      <w:pPr>
        <w:numPr>
          <w:ilvl w:val="0"/>
          <w:numId w:val="11"/>
        </w:numPr>
        <w:tabs>
          <w:tab w:val="left" w:pos="660"/>
        </w:tabs>
        <w:suppressAutoHyphens/>
        <w:autoSpaceDN w:val="0"/>
        <w:snapToGrid w:val="0"/>
        <w:spacing w:before="180"/>
        <w:ind w:left="658" w:hanging="65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乙方未依約履行疫苗賠償款及違約金時，甲方將依行政程序法第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148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條移送強制執行。</w:t>
      </w:r>
    </w:p>
    <w:p w14:paraId="2BFBE3F6" w14:textId="3EEF313F" w:rsidR="00603FF9" w:rsidRPr="00603FF9" w:rsidRDefault="00603FF9" w:rsidP="00603FF9">
      <w:pPr>
        <w:numPr>
          <w:ilvl w:val="0"/>
          <w:numId w:val="11"/>
        </w:numPr>
        <w:tabs>
          <w:tab w:val="left" w:pos="660"/>
        </w:tabs>
        <w:suppressAutoHyphens/>
        <w:autoSpaceDN w:val="0"/>
        <w:snapToGrid w:val="0"/>
        <w:spacing w:before="180"/>
        <w:ind w:left="658" w:hanging="65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本合約有效期間自民國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0604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113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0604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0604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日起至民國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0604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117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0604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12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0604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31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日止。期滿經雙方同意，得續訂新約。</w:t>
      </w:r>
    </w:p>
    <w:p w14:paraId="796513FA" w14:textId="77777777" w:rsidR="00603FF9" w:rsidRPr="00603FF9" w:rsidRDefault="00603FF9" w:rsidP="00603FF9">
      <w:pPr>
        <w:numPr>
          <w:ilvl w:val="0"/>
          <w:numId w:val="11"/>
        </w:numPr>
        <w:tabs>
          <w:tab w:val="left" w:pos="660"/>
        </w:tabs>
        <w:suppressAutoHyphens/>
        <w:autoSpaceDN w:val="0"/>
        <w:snapToGrid w:val="0"/>
        <w:spacing w:before="180"/>
        <w:ind w:left="658" w:hanging="65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本合約書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式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份，自雙方簽名蓋章後生效。由雙方各執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份為</w:t>
      </w:r>
      <w:proofErr w:type="gramStart"/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憑</w:t>
      </w:r>
      <w:proofErr w:type="gramEnd"/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35BC6631" w14:textId="4347DE3A" w:rsidR="00603FF9" w:rsidRPr="00603FF9" w:rsidRDefault="00603FF9" w:rsidP="00C500F6">
      <w:pPr>
        <w:snapToGrid w:val="0"/>
        <w:spacing w:before="180" w:after="72" w:line="500" w:lineRule="exact"/>
        <w:ind w:firstLine="283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甲方：</w:t>
      </w:r>
      <w:r w:rsidR="00F76C2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南投縣政府衛生局</w:t>
      </w:r>
    </w:p>
    <w:p w14:paraId="17A92FC2" w14:textId="03690EEF" w:rsidR="00603FF9" w:rsidRPr="00603FF9" w:rsidRDefault="00603FF9" w:rsidP="00C500F6">
      <w:pPr>
        <w:snapToGrid w:val="0"/>
        <w:spacing w:before="180" w:after="72" w:line="500" w:lineRule="exact"/>
        <w:ind w:firstLine="283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代表人：</w:t>
      </w:r>
      <w:r w:rsidR="00F76C2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陳南松</w:t>
      </w:r>
      <w:r w:rsidR="00F76C2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="00F76C2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局長</w:t>
      </w:r>
      <w:bookmarkStart w:id="1" w:name="_GoBack"/>
      <w:bookmarkEnd w:id="1"/>
    </w:p>
    <w:p w14:paraId="5099E3AB" w14:textId="77777777" w:rsidR="00603FF9" w:rsidRPr="00603FF9" w:rsidRDefault="00603FF9" w:rsidP="00C500F6">
      <w:pPr>
        <w:snapToGrid w:val="0"/>
        <w:spacing w:before="180" w:after="72" w:line="500" w:lineRule="exact"/>
        <w:ind w:firstLine="2835"/>
        <w:jc w:val="both"/>
        <w:rPr>
          <w:rFonts w:ascii="Times New Roman" w:hAnsi="Times New Roman" w:cs="Times New Roman"/>
          <w:color w:val="000000" w:themeColor="text1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乙方：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醫院診所（加蓋關防）</w:t>
      </w:r>
    </w:p>
    <w:p w14:paraId="3ABFE7D2" w14:textId="377EBE12" w:rsidR="00603FF9" w:rsidRPr="00603FF9" w:rsidRDefault="00603FF9" w:rsidP="00C500F6">
      <w:pPr>
        <w:snapToGrid w:val="0"/>
        <w:spacing w:before="180" w:after="72" w:line="500" w:lineRule="exact"/>
        <w:ind w:firstLine="283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院（所）長</w:t>
      </w:r>
      <w:r w:rsidR="006520F1" w:rsidRPr="006520F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</w:t>
      </w:r>
      <w:r w:rsidR="00B06B5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簽章</w:t>
      </w:r>
    </w:p>
    <w:p w14:paraId="6F2D2ED0" w14:textId="77777777" w:rsidR="00603FF9" w:rsidRPr="00603FF9" w:rsidRDefault="00603FF9" w:rsidP="00C500F6">
      <w:pPr>
        <w:spacing w:before="180" w:after="72" w:line="500" w:lineRule="exact"/>
        <w:ind w:firstLine="283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院址：</w:t>
      </w:r>
    </w:p>
    <w:p w14:paraId="3369E55D" w14:textId="18B40499" w:rsidR="00603FF9" w:rsidRPr="00603FF9" w:rsidRDefault="00603FF9" w:rsidP="00603FF9">
      <w:pPr>
        <w:spacing w:before="216" w:line="500" w:lineRule="exact"/>
        <w:jc w:val="center"/>
        <w:rPr>
          <w:rFonts w:ascii="Times New Roman" w:hAnsi="Times New Roman" w:cs="Times New Roman"/>
          <w:color w:val="000000" w:themeColor="text1"/>
        </w:rPr>
      </w:pP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華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民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="00A0658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603FF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p w14:paraId="13762B27" w14:textId="77777777" w:rsidR="000604AB" w:rsidRDefault="000604AB" w:rsidP="00A0697F">
      <w:pPr>
        <w:ind w:right="1920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3762355C" w14:textId="77777777" w:rsidR="000604AB" w:rsidRDefault="000604AB" w:rsidP="00A0697F">
      <w:pPr>
        <w:ind w:right="1920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4DA5DB1E" w14:textId="77777777" w:rsidR="000604AB" w:rsidRDefault="000604AB" w:rsidP="00A0697F">
      <w:pPr>
        <w:ind w:right="1920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6ED3FFC9" w14:textId="77777777" w:rsidR="000604AB" w:rsidRDefault="000604AB" w:rsidP="00A0697F">
      <w:pPr>
        <w:ind w:right="1920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5608C5D1" w14:textId="77777777" w:rsidR="000604AB" w:rsidRDefault="000604AB" w:rsidP="00A0697F">
      <w:pPr>
        <w:ind w:right="1920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0CD6DB41" w14:textId="77777777" w:rsidR="000604AB" w:rsidRDefault="000604AB" w:rsidP="00A0697F">
      <w:pPr>
        <w:ind w:right="1920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29A60257" w14:textId="77777777" w:rsidR="000604AB" w:rsidRDefault="000604AB" w:rsidP="00A0697F">
      <w:pPr>
        <w:ind w:right="1920"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0604AB" w:rsidSect="00C56594">
      <w:headerReference w:type="default" r:id="rId7"/>
      <w:pgSz w:w="11906" w:h="16838"/>
      <w:pgMar w:top="720" w:right="720" w:bottom="720" w:left="720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AF0F2" w14:textId="77777777" w:rsidR="00DF453C" w:rsidRDefault="00DF453C" w:rsidP="003C2A6B">
      <w:r>
        <w:separator/>
      </w:r>
    </w:p>
  </w:endnote>
  <w:endnote w:type="continuationSeparator" w:id="0">
    <w:p w14:paraId="104CF612" w14:textId="77777777" w:rsidR="00DF453C" w:rsidRDefault="00DF453C" w:rsidP="003C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5D384" w14:textId="77777777" w:rsidR="00DF453C" w:rsidRDefault="00DF453C" w:rsidP="003C2A6B">
      <w:r>
        <w:separator/>
      </w:r>
    </w:p>
  </w:footnote>
  <w:footnote w:type="continuationSeparator" w:id="0">
    <w:p w14:paraId="3BD358F2" w14:textId="77777777" w:rsidR="00DF453C" w:rsidRDefault="00DF453C" w:rsidP="003C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AFC62" w14:textId="77777777" w:rsidR="00C56C9C" w:rsidRPr="009A7136" w:rsidRDefault="00C56C9C" w:rsidP="00C56594">
    <w:pPr>
      <w:pStyle w:val="a5"/>
      <w:spacing w:line="400" w:lineRule="exact"/>
      <w:jc w:val="right"/>
      <w:rPr>
        <w:rFonts w:ascii="Times New Roman" w:eastAsia="標楷體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F5D"/>
    <w:multiLevelType w:val="multilevel"/>
    <w:tmpl w:val="89BA25D0"/>
    <w:lvl w:ilvl="0">
      <w:start w:val="1"/>
      <w:numFmt w:val="taiwaneseCountingThousand"/>
      <w:lvlText w:val="%1、"/>
      <w:lvlJc w:val="left"/>
      <w:pPr>
        <w:ind w:left="660" w:hanging="660"/>
      </w:pPr>
      <w:rPr>
        <w:sz w:val="28"/>
        <w:szCs w:val="28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37F2DD7"/>
    <w:multiLevelType w:val="hybridMultilevel"/>
    <w:tmpl w:val="0D64F69E"/>
    <w:lvl w:ilvl="0" w:tplc="6A107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AC161E"/>
    <w:multiLevelType w:val="hybridMultilevel"/>
    <w:tmpl w:val="78CCB9D2"/>
    <w:lvl w:ilvl="0" w:tplc="29B6AD22">
      <w:start w:val="1"/>
      <w:numFmt w:val="decimal"/>
      <w:lvlText w:val="%1."/>
      <w:lvlJc w:val="left"/>
      <w:pPr>
        <w:ind w:left="360" w:hanging="36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C69FD"/>
    <w:multiLevelType w:val="hybridMultilevel"/>
    <w:tmpl w:val="E1006040"/>
    <w:lvl w:ilvl="0" w:tplc="C74E7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6B29BA"/>
    <w:multiLevelType w:val="hybridMultilevel"/>
    <w:tmpl w:val="F1A049EA"/>
    <w:lvl w:ilvl="0" w:tplc="C12689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5C0766E"/>
    <w:multiLevelType w:val="hybridMultilevel"/>
    <w:tmpl w:val="E2AEEBF0"/>
    <w:lvl w:ilvl="0" w:tplc="27D22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28671C"/>
    <w:multiLevelType w:val="hybridMultilevel"/>
    <w:tmpl w:val="8FA4FD88"/>
    <w:lvl w:ilvl="0" w:tplc="FD84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C21031"/>
    <w:multiLevelType w:val="multilevel"/>
    <w:tmpl w:val="F25400CE"/>
    <w:lvl w:ilvl="0">
      <w:start w:val="1"/>
      <w:numFmt w:val="taiwaneseCountingThousand"/>
      <w:lvlText w:val="（%1）"/>
      <w:lvlJc w:val="left"/>
      <w:pPr>
        <w:ind w:left="1080" w:hanging="108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2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D953B2"/>
    <w:multiLevelType w:val="hybridMultilevel"/>
    <w:tmpl w:val="ED30E5AE"/>
    <w:lvl w:ilvl="0" w:tplc="D0C6DF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CF30BA"/>
    <w:multiLevelType w:val="hybridMultilevel"/>
    <w:tmpl w:val="8312D8CA"/>
    <w:lvl w:ilvl="0" w:tplc="D76A9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738AE"/>
    <w:multiLevelType w:val="hybridMultilevel"/>
    <w:tmpl w:val="8FA4FD88"/>
    <w:lvl w:ilvl="0" w:tplc="FD84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BD4A7A"/>
    <w:multiLevelType w:val="hybridMultilevel"/>
    <w:tmpl w:val="2EE211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786A76"/>
    <w:multiLevelType w:val="hybridMultilevel"/>
    <w:tmpl w:val="92A6552C"/>
    <w:lvl w:ilvl="0" w:tplc="23527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F7216D"/>
    <w:multiLevelType w:val="hybridMultilevel"/>
    <w:tmpl w:val="8850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BD058D"/>
    <w:multiLevelType w:val="hybridMultilevel"/>
    <w:tmpl w:val="8E48E28A"/>
    <w:lvl w:ilvl="0" w:tplc="FA263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250C22"/>
    <w:multiLevelType w:val="hybridMultilevel"/>
    <w:tmpl w:val="8FA4FD88"/>
    <w:lvl w:ilvl="0" w:tplc="FD84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13"/>
  </w:num>
  <w:num w:numId="7">
    <w:abstractNumId w:val="6"/>
  </w:num>
  <w:num w:numId="8">
    <w:abstractNumId w:val="15"/>
  </w:num>
  <w:num w:numId="9">
    <w:abstractNumId w:val="12"/>
  </w:num>
  <w:num w:numId="10">
    <w:abstractNumId w:val="4"/>
  </w:num>
  <w:num w:numId="11">
    <w:abstractNumId w:val="0"/>
  </w:num>
  <w:num w:numId="12">
    <w:abstractNumId w:val="7"/>
  </w:num>
  <w:num w:numId="13">
    <w:abstractNumId w:val="2"/>
  </w:num>
  <w:num w:numId="14">
    <w:abstractNumId w:val="1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0F"/>
    <w:rsid w:val="0001100F"/>
    <w:rsid w:val="00012B32"/>
    <w:rsid w:val="000604AB"/>
    <w:rsid w:val="00085260"/>
    <w:rsid w:val="001532AE"/>
    <w:rsid w:val="00165BFB"/>
    <w:rsid w:val="001A3610"/>
    <w:rsid w:val="001B6F26"/>
    <w:rsid w:val="0028101A"/>
    <w:rsid w:val="002A646B"/>
    <w:rsid w:val="003B1FB5"/>
    <w:rsid w:val="003C2A6B"/>
    <w:rsid w:val="003C4E89"/>
    <w:rsid w:val="003D0C42"/>
    <w:rsid w:val="00441FD3"/>
    <w:rsid w:val="00447EEC"/>
    <w:rsid w:val="00500600"/>
    <w:rsid w:val="0051477E"/>
    <w:rsid w:val="00603FF9"/>
    <w:rsid w:val="006135C0"/>
    <w:rsid w:val="006317AA"/>
    <w:rsid w:val="00645717"/>
    <w:rsid w:val="006520F1"/>
    <w:rsid w:val="00677B23"/>
    <w:rsid w:val="00680B3C"/>
    <w:rsid w:val="006C1232"/>
    <w:rsid w:val="007009B4"/>
    <w:rsid w:val="00715E5F"/>
    <w:rsid w:val="00725D21"/>
    <w:rsid w:val="007B2550"/>
    <w:rsid w:val="00851D5D"/>
    <w:rsid w:val="0085671A"/>
    <w:rsid w:val="00877609"/>
    <w:rsid w:val="008B690A"/>
    <w:rsid w:val="00923B4E"/>
    <w:rsid w:val="009A7136"/>
    <w:rsid w:val="009B4275"/>
    <w:rsid w:val="00A0658E"/>
    <w:rsid w:val="00A0697F"/>
    <w:rsid w:val="00A8075E"/>
    <w:rsid w:val="00AA322A"/>
    <w:rsid w:val="00B01E42"/>
    <w:rsid w:val="00B06B56"/>
    <w:rsid w:val="00B06F66"/>
    <w:rsid w:val="00B27162"/>
    <w:rsid w:val="00B61801"/>
    <w:rsid w:val="00BB464C"/>
    <w:rsid w:val="00BE2F01"/>
    <w:rsid w:val="00C1583A"/>
    <w:rsid w:val="00C40BED"/>
    <w:rsid w:val="00C500F6"/>
    <w:rsid w:val="00C56594"/>
    <w:rsid w:val="00C56C9C"/>
    <w:rsid w:val="00CA78B3"/>
    <w:rsid w:val="00CE211A"/>
    <w:rsid w:val="00D15C74"/>
    <w:rsid w:val="00DE4272"/>
    <w:rsid w:val="00DF453C"/>
    <w:rsid w:val="00DF588A"/>
    <w:rsid w:val="00E0210C"/>
    <w:rsid w:val="00F53B67"/>
    <w:rsid w:val="00F75D59"/>
    <w:rsid w:val="00F76C23"/>
    <w:rsid w:val="00FA49A2"/>
    <w:rsid w:val="00FB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7ED9D"/>
  <w15:chartTrackingRefBased/>
  <w15:docId w15:val="{7542A94F-648A-4DF3-8404-ECDFB3C2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0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97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00F"/>
    <w:pPr>
      <w:ind w:leftChars="200" w:left="480"/>
    </w:pPr>
  </w:style>
  <w:style w:type="character" w:styleId="a4">
    <w:name w:val="Hyperlink"/>
    <w:uiPriority w:val="99"/>
    <w:rsid w:val="0001100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C2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2A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2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2A6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0697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9">
    <w:name w:val="Table Grid"/>
    <w:basedOn w:val="a1"/>
    <w:uiPriority w:val="39"/>
    <w:rsid w:val="00A06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2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2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schsu.imbd@outlook.com</dc:creator>
  <cp:keywords/>
  <dc:description/>
  <cp:lastModifiedBy>林良辰</cp:lastModifiedBy>
  <cp:revision>41</cp:revision>
  <cp:lastPrinted>2023-12-13T01:41:00Z</cp:lastPrinted>
  <dcterms:created xsi:type="dcterms:W3CDTF">2020-06-16T02:25:00Z</dcterms:created>
  <dcterms:modified xsi:type="dcterms:W3CDTF">2023-12-18T03:17:00Z</dcterms:modified>
</cp:coreProperties>
</file>